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1446" w:firstLineChars="400"/>
        <w:textAlignment w:val="auto"/>
        <w:outlineLvl w:val="9"/>
        <w:rPr>
          <w:rFonts w:hint="eastAsia"/>
          <w:b/>
          <w:sz w:val="36"/>
          <w:szCs w:val="36"/>
          <w:lang w:eastAsia="zh-CN"/>
        </w:rPr>
      </w:pPr>
      <w:r>
        <w:rPr>
          <w:rFonts w:hint="eastAsia"/>
          <w:b/>
          <w:sz w:val="36"/>
          <w:szCs w:val="36"/>
        </w:rPr>
        <w:t>铜陵学院货币资金管理办法</w:t>
      </w:r>
      <w:r>
        <w:rPr>
          <w:rFonts w:hint="eastAsia"/>
          <w:b/>
          <w:sz w:val="36"/>
          <w:szCs w:val="36"/>
          <w:lang w:eastAsia="zh-CN"/>
        </w:rPr>
        <w:t>（试行）</w:t>
      </w:r>
    </w:p>
    <w:p>
      <w:pPr>
        <w:spacing w:afterLines="100"/>
        <w:ind w:firstLine="3092" w:firstLineChars="1100"/>
        <w:rPr>
          <w:rFonts w:hint="eastAsia"/>
          <w:b/>
          <w:sz w:val="28"/>
          <w:szCs w:val="28"/>
          <w:lang w:eastAsia="zh-CN"/>
        </w:rPr>
      </w:pPr>
      <w:bookmarkStart w:id="0" w:name="_GoBack"/>
      <w:bookmarkEnd w:id="0"/>
      <w:r>
        <w:rPr>
          <w:rFonts w:hint="eastAsia"/>
          <w:b/>
          <w:sz w:val="28"/>
          <w:szCs w:val="28"/>
          <w:lang w:eastAsia="zh-CN"/>
        </w:rPr>
        <w:t>院发（</w:t>
      </w:r>
      <w:r>
        <w:rPr>
          <w:rFonts w:hint="eastAsia"/>
          <w:b/>
          <w:sz w:val="28"/>
          <w:szCs w:val="28"/>
          <w:lang w:val="en-US" w:eastAsia="zh-CN"/>
        </w:rPr>
        <w:t>2018</w:t>
      </w:r>
      <w:r>
        <w:rPr>
          <w:rFonts w:hint="eastAsia"/>
          <w:b/>
          <w:sz w:val="28"/>
          <w:szCs w:val="28"/>
          <w:lang w:eastAsia="zh-CN"/>
        </w:rPr>
        <w:t>）</w:t>
      </w:r>
      <w:r>
        <w:rPr>
          <w:rFonts w:hint="eastAsia"/>
          <w:b/>
          <w:sz w:val="28"/>
          <w:szCs w:val="28"/>
          <w:lang w:val="en-US" w:eastAsia="zh-CN"/>
        </w:rPr>
        <w:t>28号</w:t>
      </w:r>
    </w:p>
    <w:p>
      <w:pPr>
        <w:rPr>
          <w:sz w:val="28"/>
          <w:szCs w:val="28"/>
        </w:rPr>
      </w:pPr>
      <w:r>
        <w:rPr>
          <w:rFonts w:hint="eastAsia"/>
          <w:b/>
          <w:sz w:val="28"/>
          <w:szCs w:val="28"/>
        </w:rPr>
        <w:t>第一条</w:t>
      </w:r>
      <w:r>
        <w:rPr>
          <w:b/>
          <w:sz w:val="28"/>
          <w:szCs w:val="28"/>
        </w:rPr>
        <w:t xml:space="preserve"> </w:t>
      </w:r>
      <w:r>
        <w:rPr>
          <w:sz w:val="28"/>
          <w:szCs w:val="28"/>
        </w:rPr>
        <w:t xml:space="preserve"> </w:t>
      </w:r>
      <w:r>
        <w:rPr>
          <w:rFonts w:hint="eastAsia"/>
          <w:sz w:val="28"/>
          <w:szCs w:val="28"/>
        </w:rPr>
        <w:t>为加强货币资金管理，确保学校货币资金安全，提高货币资金的使用效率，根据《中华人民共和国会计法》《中华人民共和国现金管理暂行条例》《行政事业单位内部控制规范（试行）》等</w:t>
      </w:r>
      <w:r>
        <w:rPr>
          <w:rFonts w:hint="eastAsia"/>
          <w:sz w:val="28"/>
          <w:szCs w:val="28"/>
          <w:lang w:eastAsia="zh-CN"/>
        </w:rPr>
        <w:t>法律、法规</w:t>
      </w:r>
      <w:r>
        <w:rPr>
          <w:rFonts w:hint="eastAsia"/>
          <w:sz w:val="28"/>
          <w:szCs w:val="28"/>
        </w:rPr>
        <w:t>，结合学校实际，制定本办法。</w:t>
      </w:r>
    </w:p>
    <w:p>
      <w:pPr>
        <w:rPr>
          <w:sz w:val="28"/>
          <w:szCs w:val="28"/>
        </w:rPr>
      </w:pPr>
      <w:r>
        <w:rPr>
          <w:rFonts w:hint="eastAsia"/>
          <w:b/>
          <w:sz w:val="28"/>
          <w:szCs w:val="28"/>
        </w:rPr>
        <w:t>第二条</w:t>
      </w:r>
      <w:r>
        <w:rPr>
          <w:sz w:val="28"/>
          <w:szCs w:val="28"/>
        </w:rPr>
        <w:t xml:space="preserve">  </w:t>
      </w:r>
      <w:r>
        <w:rPr>
          <w:rFonts w:hint="eastAsia"/>
          <w:sz w:val="28"/>
          <w:szCs w:val="28"/>
        </w:rPr>
        <w:t>本办法所指货币资金包括库存现金、银行存款、零余额账户和其他货币资金。</w:t>
      </w:r>
    </w:p>
    <w:p>
      <w:pPr>
        <w:rPr>
          <w:sz w:val="28"/>
          <w:szCs w:val="28"/>
        </w:rPr>
      </w:pPr>
      <w:r>
        <w:rPr>
          <w:rFonts w:hint="eastAsia"/>
          <w:b/>
          <w:sz w:val="28"/>
          <w:szCs w:val="28"/>
        </w:rPr>
        <w:t>第三条</w:t>
      </w:r>
      <w:r>
        <w:rPr>
          <w:b/>
          <w:sz w:val="28"/>
          <w:szCs w:val="28"/>
        </w:rPr>
        <w:t xml:space="preserve"> </w:t>
      </w:r>
      <w:r>
        <w:rPr>
          <w:sz w:val="28"/>
          <w:szCs w:val="28"/>
        </w:rPr>
        <w:t xml:space="preserve"> </w:t>
      </w:r>
      <w:r>
        <w:rPr>
          <w:rFonts w:hint="eastAsia"/>
          <w:sz w:val="28"/>
          <w:szCs w:val="28"/>
        </w:rPr>
        <w:t>财务处为学校一级财务机构，负责</w:t>
      </w:r>
      <w:r>
        <w:rPr>
          <w:rFonts w:hint="eastAsia"/>
          <w:sz w:val="28"/>
          <w:szCs w:val="28"/>
          <w:lang w:eastAsia="zh-CN"/>
        </w:rPr>
        <w:t>学</w:t>
      </w:r>
      <w:r>
        <w:rPr>
          <w:rFonts w:hint="eastAsia"/>
          <w:sz w:val="28"/>
          <w:szCs w:val="28"/>
        </w:rPr>
        <w:t>校的货币资金管理</w:t>
      </w:r>
      <w:r>
        <w:rPr>
          <w:rFonts w:hint="eastAsia"/>
          <w:sz w:val="28"/>
          <w:szCs w:val="28"/>
          <w:lang w:eastAsia="zh-CN"/>
        </w:rPr>
        <w:t>及货币资金管理办法的制定和实施。</w:t>
      </w:r>
      <w:r>
        <w:rPr>
          <w:rFonts w:hint="eastAsia"/>
          <w:sz w:val="28"/>
          <w:szCs w:val="28"/>
        </w:rPr>
        <w:t>学校二级独立核算单位应当根据国家有关法律法规和本办法，制定本单位货币资金管理实施细则。</w:t>
      </w:r>
    </w:p>
    <w:p>
      <w:pPr>
        <w:rPr>
          <w:sz w:val="28"/>
          <w:szCs w:val="28"/>
        </w:rPr>
      </w:pPr>
      <w:r>
        <w:rPr>
          <w:rFonts w:hint="eastAsia"/>
          <w:b/>
          <w:sz w:val="28"/>
          <w:szCs w:val="28"/>
        </w:rPr>
        <w:t>第四条</w:t>
      </w:r>
      <w:r>
        <w:rPr>
          <w:sz w:val="28"/>
          <w:szCs w:val="28"/>
        </w:rPr>
        <w:t xml:space="preserve">  </w:t>
      </w:r>
      <w:r>
        <w:rPr>
          <w:rFonts w:hint="eastAsia"/>
          <w:sz w:val="28"/>
          <w:szCs w:val="28"/>
        </w:rPr>
        <w:t>建立货币资金业务的岗位分工体系和岗位责任制度。</w:t>
      </w:r>
    </w:p>
    <w:p>
      <w:pPr>
        <w:ind w:firstLine="560" w:firstLineChars="200"/>
        <w:rPr>
          <w:sz w:val="28"/>
          <w:szCs w:val="28"/>
        </w:rPr>
      </w:pPr>
      <w:r>
        <w:rPr>
          <w:rFonts w:hint="eastAsia"/>
          <w:sz w:val="28"/>
          <w:szCs w:val="28"/>
        </w:rPr>
        <w:t>（一）办理货币资金业务的不相容岗位应当相互分离、制约和监督，出纳人员不得兼任稽核、会计档案保管和收入、支出、费用、债权</w:t>
      </w:r>
      <w:r>
        <w:rPr>
          <w:rFonts w:hint="eastAsia"/>
          <w:sz w:val="28"/>
          <w:szCs w:val="28"/>
          <w:lang w:eastAsia="zh-CN"/>
        </w:rPr>
        <w:t>、</w:t>
      </w:r>
      <w:r>
        <w:rPr>
          <w:rFonts w:hint="eastAsia"/>
          <w:sz w:val="28"/>
          <w:szCs w:val="28"/>
        </w:rPr>
        <w:t>债务账目的登记工作，不得由一人办理货币资金业务的全过程。</w:t>
      </w:r>
    </w:p>
    <w:p>
      <w:pPr>
        <w:ind w:firstLine="560" w:firstLineChars="200"/>
        <w:rPr>
          <w:sz w:val="28"/>
          <w:szCs w:val="28"/>
        </w:rPr>
      </w:pPr>
      <w:r>
        <w:rPr>
          <w:rFonts w:hint="eastAsia"/>
          <w:sz w:val="28"/>
          <w:szCs w:val="28"/>
        </w:rPr>
        <w:t>（二）严禁未经授权的机构或人员办理货币资金业务或直接接触货币资金。</w:t>
      </w:r>
    </w:p>
    <w:p>
      <w:pPr>
        <w:ind w:firstLine="560" w:firstLineChars="200"/>
        <w:rPr>
          <w:sz w:val="28"/>
          <w:szCs w:val="28"/>
        </w:rPr>
      </w:pPr>
      <w:r>
        <w:rPr>
          <w:rFonts w:hint="eastAsia"/>
          <w:sz w:val="28"/>
          <w:szCs w:val="28"/>
        </w:rPr>
        <w:t>（三）货币资金业务岗位应当根据实际情况定期进行岗位轮换。</w:t>
      </w:r>
    </w:p>
    <w:p>
      <w:pPr>
        <w:ind w:firstLine="560" w:firstLineChars="200"/>
        <w:rPr>
          <w:sz w:val="28"/>
          <w:szCs w:val="28"/>
        </w:rPr>
      </w:pPr>
      <w:r>
        <w:rPr>
          <w:rFonts w:hint="eastAsia"/>
          <w:sz w:val="28"/>
          <w:szCs w:val="28"/>
        </w:rPr>
        <w:t>（四）对银行结算凭证的填制、传递及保管等环节应当加强管理与控制。</w:t>
      </w:r>
    </w:p>
    <w:p>
      <w:pPr>
        <w:ind w:firstLine="560" w:firstLineChars="200"/>
        <w:rPr>
          <w:sz w:val="28"/>
          <w:szCs w:val="28"/>
        </w:rPr>
      </w:pPr>
      <w:r>
        <w:rPr>
          <w:rFonts w:hint="eastAsia"/>
          <w:sz w:val="28"/>
          <w:szCs w:val="28"/>
        </w:rPr>
        <w:t>（五）设置专人负责保管定期存款单据，建立定期存款备查簿，并实时监管定期存款的结息和到期还本时间。</w:t>
      </w:r>
    </w:p>
    <w:p>
      <w:pPr>
        <w:ind w:firstLine="560" w:firstLineChars="200"/>
        <w:rPr>
          <w:sz w:val="28"/>
          <w:szCs w:val="28"/>
        </w:rPr>
      </w:pPr>
      <w:r>
        <w:rPr>
          <w:rFonts w:hint="eastAsia"/>
          <w:sz w:val="28"/>
          <w:szCs w:val="28"/>
        </w:rPr>
        <w:t>（六）财务部门货币资金业务岗位设立分为现金出纳岗、银行出纳岗、财政一体化支付岗，并实行“三岗分离”。</w:t>
      </w:r>
    </w:p>
    <w:p>
      <w:pPr>
        <w:ind w:firstLine="560" w:firstLineChars="200"/>
        <w:rPr>
          <w:sz w:val="28"/>
          <w:szCs w:val="28"/>
        </w:rPr>
      </w:pPr>
      <w:r>
        <w:rPr>
          <w:rFonts w:hint="eastAsia"/>
          <w:sz w:val="28"/>
          <w:szCs w:val="28"/>
        </w:rPr>
        <w:t>（七）会计人员应当实行回避制度，财务负责人的直系亲属不得在本单位担任现金出纳、银行出纳和财政一体化系统支付工作。</w:t>
      </w:r>
    </w:p>
    <w:p>
      <w:pPr>
        <w:rPr>
          <w:sz w:val="28"/>
          <w:szCs w:val="28"/>
        </w:rPr>
      </w:pPr>
      <w:r>
        <w:rPr>
          <w:rFonts w:hint="eastAsia"/>
          <w:b/>
          <w:sz w:val="28"/>
          <w:szCs w:val="28"/>
        </w:rPr>
        <w:t>第五条</w:t>
      </w:r>
      <w:r>
        <w:rPr>
          <w:sz w:val="28"/>
          <w:szCs w:val="28"/>
        </w:rPr>
        <w:t xml:space="preserve">  </w:t>
      </w:r>
      <w:r>
        <w:rPr>
          <w:rFonts w:hint="eastAsia"/>
          <w:sz w:val="28"/>
          <w:szCs w:val="28"/>
        </w:rPr>
        <w:t>现金管理</w:t>
      </w:r>
    </w:p>
    <w:p>
      <w:pPr>
        <w:ind w:firstLine="420" w:firstLineChars="150"/>
        <w:rPr>
          <w:sz w:val="28"/>
          <w:szCs w:val="28"/>
        </w:rPr>
      </w:pPr>
      <w:r>
        <w:rPr>
          <w:rFonts w:hint="eastAsia"/>
          <w:sz w:val="28"/>
          <w:szCs w:val="28"/>
        </w:rPr>
        <w:t>（一）财务部门根据《现金管理暂行条例》的规定，结合学校实际情况，对</w:t>
      </w:r>
      <w:r>
        <w:rPr>
          <w:rFonts w:hint="eastAsia"/>
          <w:sz w:val="28"/>
          <w:szCs w:val="28"/>
          <w:lang w:eastAsia="zh-CN"/>
        </w:rPr>
        <w:t>个人</w:t>
      </w:r>
      <w:r>
        <w:rPr>
          <w:rFonts w:hint="eastAsia"/>
          <w:sz w:val="28"/>
          <w:szCs w:val="28"/>
        </w:rPr>
        <w:t>的结算原则上不办理现金收付业务。学校</w:t>
      </w:r>
      <w:r>
        <w:rPr>
          <w:rFonts w:hint="eastAsia"/>
          <w:sz w:val="28"/>
          <w:szCs w:val="28"/>
          <w:lang w:eastAsia="zh-CN"/>
        </w:rPr>
        <w:t>教</w:t>
      </w:r>
      <w:r>
        <w:rPr>
          <w:rFonts w:hint="eastAsia"/>
          <w:sz w:val="28"/>
          <w:szCs w:val="28"/>
        </w:rPr>
        <w:t>职工通过工资卡、公务卡办理结算，学生通过个人银行卡办理结算。</w:t>
      </w:r>
    </w:p>
    <w:p>
      <w:pPr>
        <w:ind w:firstLine="560" w:firstLineChars="200"/>
        <w:rPr>
          <w:sz w:val="28"/>
          <w:szCs w:val="28"/>
        </w:rPr>
      </w:pPr>
      <w:r>
        <w:rPr>
          <w:rFonts w:hint="eastAsia"/>
          <w:sz w:val="28"/>
          <w:szCs w:val="28"/>
        </w:rPr>
        <w:t>（二）应当严格执行开户银行核定的库存现金限额，超过限额的，应于每天工作时间终了前将现金送存开户银行，不得坐支现金。</w:t>
      </w:r>
    </w:p>
    <w:p>
      <w:pPr>
        <w:ind w:firstLine="560" w:firstLineChars="200"/>
        <w:rPr>
          <w:sz w:val="28"/>
          <w:szCs w:val="28"/>
        </w:rPr>
      </w:pPr>
      <w:r>
        <w:rPr>
          <w:rFonts w:hint="eastAsia"/>
          <w:sz w:val="28"/>
          <w:szCs w:val="28"/>
        </w:rPr>
        <w:t>（三）现金管理实行“收支两条线”，现金收入必须及时入账。任何单位或个人不得私设“小金库”，不得套取现金。</w:t>
      </w:r>
    </w:p>
    <w:p>
      <w:pPr>
        <w:ind w:firstLine="560" w:firstLineChars="200"/>
        <w:rPr>
          <w:sz w:val="28"/>
          <w:szCs w:val="28"/>
        </w:rPr>
      </w:pPr>
      <w:r>
        <w:rPr>
          <w:rFonts w:hint="eastAsia"/>
          <w:sz w:val="28"/>
          <w:szCs w:val="28"/>
        </w:rPr>
        <w:t>（四）出纳人员须按照经会计审核无误的记账凭证记录的现金数额准确收付</w:t>
      </w:r>
      <w:r>
        <w:rPr>
          <w:rFonts w:hint="eastAsia"/>
          <w:sz w:val="28"/>
          <w:szCs w:val="28"/>
          <w:lang w:eastAsia="zh-CN"/>
        </w:rPr>
        <w:t>。</w:t>
      </w:r>
      <w:r>
        <w:rPr>
          <w:rFonts w:hint="eastAsia"/>
          <w:sz w:val="28"/>
          <w:szCs w:val="28"/>
        </w:rPr>
        <w:t>每日盘点库存现金，做到日清月结、账款相符，确保资金安全。</w:t>
      </w:r>
    </w:p>
    <w:p>
      <w:pPr>
        <w:ind w:firstLine="560" w:firstLineChars="200"/>
        <w:rPr>
          <w:rFonts w:hint="eastAsia"/>
          <w:sz w:val="28"/>
          <w:szCs w:val="28"/>
        </w:rPr>
      </w:pPr>
      <w:r>
        <w:rPr>
          <w:rFonts w:hint="eastAsia"/>
          <w:sz w:val="28"/>
          <w:szCs w:val="28"/>
        </w:rPr>
        <w:t>（五）财务</w:t>
      </w:r>
      <w:r>
        <w:rPr>
          <w:rFonts w:hint="eastAsia"/>
          <w:sz w:val="28"/>
          <w:szCs w:val="28"/>
          <w:lang w:eastAsia="zh-CN"/>
        </w:rPr>
        <w:t>处</w:t>
      </w:r>
      <w:r>
        <w:rPr>
          <w:rFonts w:hint="eastAsia"/>
          <w:sz w:val="28"/>
          <w:szCs w:val="28"/>
        </w:rPr>
        <w:t>负责人应当根据实际需要，不定期地对现金收支情况和库存现金进行稽核检查。</w:t>
      </w:r>
    </w:p>
    <w:p>
      <w:pPr>
        <w:ind w:firstLine="560" w:firstLineChars="200"/>
        <w:rPr>
          <w:rFonts w:hint="eastAsia" w:eastAsia="宋体"/>
          <w:sz w:val="28"/>
          <w:szCs w:val="28"/>
          <w:lang w:eastAsia="zh-CN"/>
        </w:rPr>
      </w:pPr>
      <w:r>
        <w:rPr>
          <w:rFonts w:hint="eastAsia"/>
          <w:sz w:val="28"/>
          <w:szCs w:val="28"/>
          <w:lang w:eastAsia="zh-CN"/>
        </w:rPr>
        <w:t>（六）不属于现金开支范围的，通过银行转账结算。</w:t>
      </w:r>
    </w:p>
    <w:p>
      <w:pPr>
        <w:rPr>
          <w:sz w:val="28"/>
          <w:szCs w:val="28"/>
        </w:rPr>
      </w:pPr>
      <w:r>
        <w:rPr>
          <w:rFonts w:hint="eastAsia"/>
          <w:b/>
          <w:sz w:val="28"/>
          <w:szCs w:val="28"/>
        </w:rPr>
        <w:t>第六条</w:t>
      </w:r>
      <w:r>
        <w:rPr>
          <w:sz w:val="28"/>
          <w:szCs w:val="28"/>
        </w:rPr>
        <w:t xml:space="preserve">  </w:t>
      </w:r>
      <w:r>
        <w:rPr>
          <w:rFonts w:hint="eastAsia"/>
          <w:sz w:val="28"/>
          <w:szCs w:val="28"/>
        </w:rPr>
        <w:t>银行存款管理</w:t>
      </w:r>
    </w:p>
    <w:p>
      <w:pPr>
        <w:ind w:firstLine="560" w:firstLineChars="200"/>
        <w:rPr>
          <w:sz w:val="28"/>
          <w:szCs w:val="28"/>
        </w:rPr>
      </w:pPr>
      <w:r>
        <w:rPr>
          <w:rFonts w:hint="eastAsia"/>
          <w:sz w:val="28"/>
          <w:szCs w:val="28"/>
        </w:rPr>
        <w:t>（一）银行账户的开立、变更、撤销与年检，应当严格执行财政部、教育部关于银行账户的管理办法。</w:t>
      </w:r>
    </w:p>
    <w:p>
      <w:pPr>
        <w:ind w:firstLine="560" w:firstLineChars="200"/>
        <w:rPr>
          <w:sz w:val="28"/>
          <w:szCs w:val="28"/>
        </w:rPr>
      </w:pPr>
      <w:r>
        <w:rPr>
          <w:rFonts w:hint="eastAsia"/>
          <w:sz w:val="28"/>
          <w:szCs w:val="28"/>
        </w:rPr>
        <w:t>（二）财务</w:t>
      </w:r>
      <w:r>
        <w:rPr>
          <w:rFonts w:hint="eastAsia"/>
          <w:sz w:val="28"/>
          <w:szCs w:val="28"/>
          <w:lang w:eastAsia="zh-CN"/>
        </w:rPr>
        <w:t>处</w:t>
      </w:r>
      <w:r>
        <w:rPr>
          <w:rFonts w:hint="eastAsia"/>
          <w:sz w:val="28"/>
          <w:szCs w:val="28"/>
        </w:rPr>
        <w:t>负责办理学校银行账户开立、变更、撤销、年检等业务，校内任何单位不得以任何名义开立账户。</w:t>
      </w:r>
    </w:p>
    <w:p>
      <w:pPr>
        <w:ind w:firstLine="560" w:firstLineChars="200"/>
        <w:rPr>
          <w:sz w:val="28"/>
          <w:szCs w:val="28"/>
        </w:rPr>
      </w:pPr>
      <w:r>
        <w:rPr>
          <w:rFonts w:hint="eastAsia"/>
          <w:sz w:val="28"/>
          <w:szCs w:val="28"/>
        </w:rPr>
        <w:t>（三）严格遵守人民银行的结算制度和结算纪律，接受开户银行的监督。不准出租、出借和套用银行账号，严禁利用银行账户或支票搞非法活动。</w:t>
      </w:r>
    </w:p>
    <w:p>
      <w:pPr>
        <w:ind w:firstLine="560" w:firstLineChars="200"/>
        <w:rPr>
          <w:sz w:val="28"/>
          <w:szCs w:val="28"/>
        </w:rPr>
      </w:pPr>
      <w:r>
        <w:rPr>
          <w:rFonts w:hint="eastAsia"/>
          <w:sz w:val="28"/>
          <w:szCs w:val="28"/>
        </w:rPr>
        <w:t>（四）加强支票管理，严禁签发空头支票或远期支票，签发支票必须填写日期、收款人、用途、金额，不得签发空白支票。</w:t>
      </w:r>
    </w:p>
    <w:p>
      <w:pPr>
        <w:pStyle w:val="5"/>
        <w:spacing w:before="0" w:beforeAutospacing="0" w:after="0" w:afterAutospacing="0" w:line="315" w:lineRule="atLeast"/>
        <w:ind w:firstLine="480"/>
        <w:rPr>
          <w:color w:val="323232"/>
          <w:sz w:val="21"/>
          <w:szCs w:val="21"/>
        </w:rPr>
      </w:pPr>
      <w:r>
        <w:rPr>
          <w:rFonts w:hint="eastAsia"/>
          <w:sz w:val="28"/>
          <w:szCs w:val="28"/>
        </w:rPr>
        <w:t>（五）设置专人核对银行存款日记账与银行对账单，按月编制银行存款余额调节表，对未达账项应及时查明原因，银行存款余额调节表实行“双签”制度，即编表人签字，财务</w:t>
      </w:r>
      <w:r>
        <w:rPr>
          <w:rFonts w:hint="eastAsia"/>
          <w:sz w:val="28"/>
          <w:szCs w:val="28"/>
          <w:lang w:eastAsia="zh-CN"/>
        </w:rPr>
        <w:t>处</w:t>
      </w:r>
      <w:r>
        <w:rPr>
          <w:rFonts w:hint="eastAsia"/>
          <w:sz w:val="28"/>
          <w:szCs w:val="28"/>
        </w:rPr>
        <w:t>负责人审核签字。银行存款余额调节表与对账单应按年装订存档。</w:t>
      </w:r>
    </w:p>
    <w:p>
      <w:pPr>
        <w:rPr>
          <w:sz w:val="28"/>
          <w:szCs w:val="28"/>
        </w:rPr>
      </w:pPr>
      <w:r>
        <w:rPr>
          <w:rFonts w:hint="eastAsia"/>
          <w:b/>
          <w:sz w:val="28"/>
          <w:szCs w:val="28"/>
        </w:rPr>
        <w:t>第七条</w:t>
      </w:r>
      <w:r>
        <w:rPr>
          <w:sz w:val="28"/>
          <w:szCs w:val="28"/>
        </w:rPr>
        <w:t xml:space="preserve">  </w:t>
      </w:r>
      <w:r>
        <w:rPr>
          <w:rFonts w:hint="eastAsia"/>
          <w:sz w:val="28"/>
          <w:szCs w:val="28"/>
        </w:rPr>
        <w:t>银行票据和印章管理</w:t>
      </w:r>
    </w:p>
    <w:p>
      <w:pPr>
        <w:ind w:firstLine="560" w:firstLineChars="200"/>
        <w:rPr>
          <w:sz w:val="28"/>
          <w:szCs w:val="28"/>
        </w:rPr>
      </w:pPr>
      <w:r>
        <w:rPr>
          <w:rFonts w:hint="eastAsia"/>
          <w:sz w:val="28"/>
          <w:szCs w:val="28"/>
        </w:rPr>
        <w:t>（一）银行票据包括转账支票、现金支票、现金交款单、</w:t>
      </w:r>
      <w:r>
        <w:rPr>
          <w:rFonts w:hint="eastAsia"/>
          <w:sz w:val="28"/>
          <w:szCs w:val="28"/>
          <w:lang w:eastAsia="zh-CN"/>
        </w:rPr>
        <w:t>银行</w:t>
      </w:r>
      <w:r>
        <w:rPr>
          <w:rFonts w:hint="eastAsia"/>
          <w:sz w:val="28"/>
          <w:szCs w:val="28"/>
        </w:rPr>
        <w:t>进账单、电汇单、银行汇票等。</w:t>
      </w:r>
    </w:p>
    <w:p>
      <w:pPr>
        <w:ind w:firstLine="560" w:firstLineChars="200"/>
        <w:rPr>
          <w:sz w:val="28"/>
          <w:szCs w:val="28"/>
        </w:rPr>
      </w:pPr>
      <w:r>
        <w:rPr>
          <w:rFonts w:hint="eastAsia"/>
          <w:sz w:val="28"/>
          <w:szCs w:val="28"/>
        </w:rPr>
        <w:t>（二）财务处指定专人办理购买银行票据业务，应当逐一清点检查，特别是转账支票和现金支票要检查编号是否连续、有无缺页、破损等情况，若有缺页、破损或编号不连续，应于购买时当场更换，领用银行票据时，要记录登记，避免空白支票丢失。</w:t>
      </w:r>
    </w:p>
    <w:p>
      <w:pPr>
        <w:ind w:firstLine="560" w:firstLineChars="200"/>
        <w:rPr>
          <w:sz w:val="28"/>
          <w:szCs w:val="28"/>
        </w:rPr>
      </w:pPr>
      <w:r>
        <w:rPr>
          <w:rFonts w:hint="eastAsia"/>
          <w:sz w:val="28"/>
          <w:szCs w:val="28"/>
        </w:rPr>
        <w:t>（三）银行出纳负责保管空白支票，必须设立支票登记簿，及时登记支票的购入、使用和注销情况。</w:t>
      </w:r>
    </w:p>
    <w:p>
      <w:pPr>
        <w:ind w:firstLine="560" w:firstLineChars="200"/>
        <w:rPr>
          <w:sz w:val="28"/>
          <w:szCs w:val="28"/>
        </w:rPr>
      </w:pPr>
      <w:r>
        <w:rPr>
          <w:rFonts w:hint="eastAsia"/>
          <w:sz w:val="28"/>
          <w:szCs w:val="28"/>
        </w:rPr>
        <w:t>（四）财务处指定专人保管财务专用章，除规定的使用范围外，财务专用章不得用于公文性质的证明、通知等。财务</w:t>
      </w:r>
      <w:r>
        <w:rPr>
          <w:rFonts w:hint="eastAsia"/>
          <w:sz w:val="28"/>
          <w:szCs w:val="28"/>
          <w:lang w:eastAsia="zh-CN"/>
        </w:rPr>
        <w:t>处</w:t>
      </w:r>
      <w:r>
        <w:rPr>
          <w:rFonts w:hint="eastAsia"/>
          <w:sz w:val="28"/>
          <w:szCs w:val="28"/>
        </w:rPr>
        <w:t>负责人印鉴由财务</w:t>
      </w:r>
      <w:r>
        <w:rPr>
          <w:rFonts w:hint="eastAsia"/>
          <w:sz w:val="28"/>
          <w:szCs w:val="28"/>
          <w:lang w:eastAsia="zh-CN"/>
        </w:rPr>
        <w:t>处</w:t>
      </w:r>
      <w:r>
        <w:rPr>
          <w:rFonts w:hint="eastAsia"/>
          <w:sz w:val="28"/>
          <w:szCs w:val="28"/>
        </w:rPr>
        <w:t>负责本人保管或授权部门内他人保管。严禁一人保管支付款项所需的全部印章，严禁将所有印章存放在一起。</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outlineLvl w:val="9"/>
        <w:rPr>
          <w:rFonts w:ascii="Calibri" w:hAnsi="Calibri" w:cs="Times New Roman"/>
          <w:kern w:val="2"/>
          <w:sz w:val="28"/>
          <w:szCs w:val="28"/>
        </w:rPr>
      </w:pPr>
      <w:r>
        <w:rPr>
          <w:rFonts w:hint="eastAsia" w:ascii="Calibri" w:hAnsi="Calibri" w:cs="Times New Roman"/>
          <w:b/>
          <w:kern w:val="2"/>
          <w:sz w:val="28"/>
          <w:szCs w:val="28"/>
        </w:rPr>
        <w:t>第八条</w:t>
      </w:r>
      <w:r>
        <w:rPr>
          <w:color w:val="323232"/>
          <w:sz w:val="21"/>
          <w:szCs w:val="21"/>
        </w:rPr>
        <w:t xml:space="preserve">  </w:t>
      </w:r>
      <w:r>
        <w:rPr>
          <w:rFonts w:hint="eastAsia" w:ascii="Calibri" w:hAnsi="Calibri" w:cs="Times New Roman"/>
          <w:kern w:val="2"/>
          <w:sz w:val="28"/>
          <w:szCs w:val="28"/>
        </w:rPr>
        <w:t>零余额账户管理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ascii="Calibri" w:hAnsi="Calibri" w:cs="Times New Roman"/>
          <w:kern w:val="2"/>
          <w:sz w:val="28"/>
          <w:szCs w:val="28"/>
        </w:rPr>
      </w:pPr>
      <w:r>
        <w:rPr>
          <w:rFonts w:ascii="Calibri" w:hAnsi="Calibri" w:cs="Times New Roman"/>
          <w:kern w:val="2"/>
          <w:sz w:val="28"/>
          <w:szCs w:val="28"/>
        </w:rPr>
        <w:t xml:space="preserve">    </w:t>
      </w:r>
      <w:r>
        <w:rPr>
          <w:rFonts w:hint="eastAsia" w:ascii="Calibri" w:hAnsi="Calibri" w:cs="Times New Roman"/>
          <w:kern w:val="2"/>
          <w:sz w:val="28"/>
          <w:szCs w:val="28"/>
        </w:rPr>
        <w:t>（一）零余额账户</w:t>
      </w:r>
      <w:r>
        <w:rPr>
          <w:rFonts w:hint="eastAsia" w:ascii="Calibri" w:hAnsi="Calibri" w:cs="Times New Roman"/>
          <w:kern w:val="2"/>
          <w:sz w:val="28"/>
          <w:szCs w:val="28"/>
          <w:lang w:eastAsia="zh-CN"/>
        </w:rPr>
        <w:t>是</w:t>
      </w:r>
      <w:r>
        <w:rPr>
          <w:rFonts w:hint="eastAsia" w:ascii="Calibri" w:hAnsi="Calibri" w:cs="Times New Roman"/>
          <w:kern w:val="2"/>
          <w:sz w:val="28"/>
          <w:szCs w:val="28"/>
        </w:rPr>
        <w:t>财政部门和预算单位在办理支付款业务时，先由代理银行根据财政预算批复的拨款凭证支付指令，通过单位零余额账户将资金支付到供应商或收款人账户，支付的资金由代理银行在每天规定的时间内与人民银行通过国库账户进行清算，将当天支付的所有资金从人民银行国库划到代理银行账户，当天扎账后，账户的余额为零。独立核算的预算单位，只能开设一个零余额账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outlineLvl w:val="9"/>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（二）财务</w:t>
      </w:r>
      <w:r>
        <w:rPr>
          <w:rFonts w:hint="eastAsia" w:cs="Times New Roman"/>
          <w:kern w:val="2"/>
          <w:sz w:val="28"/>
          <w:szCs w:val="28"/>
          <w:lang w:val="en-US" w:eastAsia="zh-CN" w:bidi="ar-SA"/>
        </w:rPr>
        <w:t>处</w:t>
      </w:r>
      <w:r>
        <w:rPr>
          <w:rFonts w:hint="default" w:ascii="Calibri" w:hAnsi="Calibri" w:eastAsia="宋体" w:cs="Times New Roman"/>
          <w:kern w:val="2"/>
          <w:sz w:val="28"/>
          <w:szCs w:val="28"/>
          <w:lang w:val="en-US" w:eastAsia="zh-CN" w:bidi="ar-SA"/>
        </w:rPr>
        <w:t>根据</w:t>
      </w:r>
      <w:r>
        <w:rPr>
          <w:rFonts w:hint="eastAsia" w:ascii="Calibri" w:hAnsi="Calibri" w:eastAsia="宋体" w:cs="Times New Roman"/>
          <w:kern w:val="2"/>
          <w:sz w:val="28"/>
          <w:szCs w:val="28"/>
          <w:lang w:val="en-US" w:eastAsia="zh-CN" w:bidi="ar-SA"/>
        </w:rPr>
        <w:t>教育厅</w:t>
      </w:r>
      <w:r>
        <w:rPr>
          <w:rFonts w:hint="default" w:ascii="Calibri" w:hAnsi="Calibri" w:eastAsia="宋体" w:cs="Times New Roman"/>
          <w:kern w:val="2"/>
          <w:sz w:val="28"/>
          <w:szCs w:val="28"/>
          <w:lang w:val="en-US" w:eastAsia="zh-CN" w:bidi="ar-SA"/>
        </w:rPr>
        <w:t>批准的预算和支出分类向省财政厅国库支付中心申报用款计划。用款计划包括财政直接支付用款计划和财政授权支付用款计划两部分。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outlineLvl w:val="9"/>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（三）</w:t>
      </w:r>
      <w:r>
        <w:rPr>
          <w:rFonts w:hint="default" w:ascii="Calibri" w:hAnsi="Calibri" w:eastAsia="宋体" w:cs="Times New Roman"/>
          <w:kern w:val="2"/>
          <w:sz w:val="28"/>
          <w:szCs w:val="28"/>
          <w:lang w:val="en-US" w:eastAsia="zh-CN" w:bidi="ar-SA"/>
        </w:rPr>
        <w:t>国库集中支付按照省财政厅的批复，根据不同的支付主体和支付类型，具体实行财政直接支付和财政授权支付。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outlineLvl w:val="9"/>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（四）</w:t>
      </w:r>
      <w:r>
        <w:rPr>
          <w:rFonts w:hint="default" w:ascii="Calibri" w:hAnsi="Calibri" w:eastAsia="宋体" w:cs="Times New Roman"/>
          <w:kern w:val="2"/>
          <w:sz w:val="28"/>
          <w:szCs w:val="28"/>
          <w:lang w:val="en-US" w:eastAsia="zh-CN" w:bidi="ar-SA"/>
        </w:rPr>
        <w:t>每月终了，出纳人员应将财政一体化申请支付数余额与账面余额进行对账，并按财政资金和非税资金分类核对，发现错误应当及时更正。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outlineLvl w:val="9"/>
        <w:rPr>
          <w:rFonts w:hint="default"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（五）</w:t>
      </w:r>
      <w:r>
        <w:rPr>
          <w:rFonts w:hint="default" w:ascii="Calibri" w:hAnsi="Calibri" w:eastAsia="宋体" w:cs="Times New Roman"/>
          <w:kern w:val="2"/>
          <w:sz w:val="28"/>
          <w:szCs w:val="28"/>
          <w:lang w:val="en-US" w:eastAsia="zh-CN" w:bidi="ar-SA"/>
        </w:rPr>
        <w:t xml:space="preserve"> 年终根据财政一体化平台综合查询模块进行业务核对，准确无误后，将零余额账户额度进行注销和账务处理。</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70"/>
        <w:textAlignment w:val="auto"/>
        <w:outlineLvl w:val="9"/>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（六）预算单位的零余额账户只能用于本级开支，不得用于资金转拨，一般不得向单位实有资金户划拨资金。</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70"/>
        <w:textAlignment w:val="auto"/>
        <w:outlineLvl w:val="9"/>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（七）不得由一人办理零余额账户业务的全过程，应确保不相容岗位的相互分离、制约和监督。</w:t>
      </w:r>
    </w:p>
    <w:p>
      <w:pPr>
        <w:keepNext w:val="0"/>
        <w:keepLines w:val="0"/>
        <w:pageBreakBefore w:val="0"/>
        <w:kinsoku/>
        <w:wordWrap/>
        <w:overflowPunct/>
        <w:topLinePunct w:val="0"/>
        <w:autoSpaceDE/>
        <w:autoSpaceDN/>
        <w:bidi w:val="0"/>
        <w:adjustRightInd/>
        <w:snapToGrid/>
        <w:spacing w:line="360" w:lineRule="auto"/>
        <w:textAlignment w:val="auto"/>
        <w:outlineLvl w:val="9"/>
        <w:rPr>
          <w:sz w:val="28"/>
          <w:szCs w:val="28"/>
        </w:rPr>
      </w:pPr>
      <w:r>
        <w:rPr>
          <w:rFonts w:hint="eastAsia"/>
          <w:b/>
          <w:sz w:val="28"/>
          <w:szCs w:val="28"/>
        </w:rPr>
        <w:t>第九条</w:t>
      </w:r>
      <w:r>
        <w:rPr>
          <w:sz w:val="28"/>
          <w:szCs w:val="28"/>
        </w:rPr>
        <w:t xml:space="preserve">  </w:t>
      </w:r>
      <w:r>
        <w:rPr>
          <w:rFonts w:hint="eastAsia"/>
          <w:sz w:val="28"/>
          <w:szCs w:val="28"/>
        </w:rPr>
        <w:t>货币资金业务授权审批</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outlineLvl w:val="9"/>
        <w:rPr>
          <w:sz w:val="28"/>
          <w:szCs w:val="28"/>
        </w:rPr>
      </w:pPr>
      <w:r>
        <w:rPr>
          <w:rFonts w:hint="eastAsia"/>
          <w:sz w:val="28"/>
          <w:szCs w:val="28"/>
        </w:rPr>
        <w:t>凡从学校财务部门支取（含报销与借款等）的现金、支票及汇款，均应按照学校规定的审权限要求办理审批手续。涉及重大的货币资金支取业务，还需要按照学校“三重一大”制度规定履行决策和审批程序。</w:t>
      </w:r>
    </w:p>
    <w:p>
      <w:pPr>
        <w:keepNext w:val="0"/>
        <w:keepLines w:val="0"/>
        <w:pageBreakBefore w:val="0"/>
        <w:kinsoku/>
        <w:wordWrap/>
        <w:overflowPunct/>
        <w:topLinePunct w:val="0"/>
        <w:autoSpaceDE/>
        <w:autoSpaceDN/>
        <w:bidi w:val="0"/>
        <w:adjustRightInd/>
        <w:snapToGrid/>
        <w:spacing w:line="360" w:lineRule="auto"/>
        <w:textAlignment w:val="auto"/>
        <w:outlineLvl w:val="9"/>
        <w:rPr>
          <w:sz w:val="28"/>
          <w:szCs w:val="28"/>
        </w:rPr>
      </w:pPr>
      <w:r>
        <w:rPr>
          <w:rFonts w:hint="eastAsia"/>
          <w:b/>
          <w:sz w:val="28"/>
          <w:szCs w:val="28"/>
        </w:rPr>
        <w:t>第十条</w:t>
      </w:r>
      <w:r>
        <w:rPr>
          <w:sz w:val="28"/>
          <w:szCs w:val="28"/>
        </w:rPr>
        <w:t xml:space="preserve">  </w:t>
      </w:r>
      <w:r>
        <w:rPr>
          <w:rFonts w:hint="eastAsia"/>
          <w:sz w:val="28"/>
          <w:szCs w:val="28"/>
        </w:rPr>
        <w:t>货币资金业务监督检查</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outlineLvl w:val="9"/>
        <w:rPr>
          <w:sz w:val="28"/>
          <w:szCs w:val="28"/>
        </w:rPr>
      </w:pPr>
      <w:r>
        <w:rPr>
          <w:rFonts w:hint="eastAsia"/>
          <w:sz w:val="28"/>
          <w:szCs w:val="28"/>
        </w:rPr>
        <w:t>建立对货币资金业务的监督检查制度，对监督检查过程中发现的货币资金内部控制中的薄弱环节，应当及时采取措施，加以纠正和完善。检查的重点内容是：</w:t>
      </w:r>
    </w:p>
    <w:p>
      <w:pPr>
        <w:ind w:firstLine="560" w:firstLineChars="200"/>
        <w:rPr>
          <w:sz w:val="28"/>
          <w:szCs w:val="28"/>
        </w:rPr>
      </w:pPr>
      <w:r>
        <w:rPr>
          <w:rFonts w:hint="eastAsia"/>
          <w:sz w:val="28"/>
          <w:szCs w:val="28"/>
        </w:rPr>
        <w:t>（一）货币资金业务流程是否存在安全隐患。</w:t>
      </w:r>
    </w:p>
    <w:p>
      <w:pPr>
        <w:ind w:firstLine="560" w:firstLineChars="200"/>
        <w:rPr>
          <w:rFonts w:hint="eastAsia"/>
          <w:sz w:val="28"/>
          <w:szCs w:val="28"/>
        </w:rPr>
      </w:pPr>
      <w:r>
        <w:rPr>
          <w:rFonts w:hint="eastAsia"/>
          <w:sz w:val="28"/>
          <w:szCs w:val="28"/>
        </w:rPr>
        <w:t>（二）货币资金业务相关岗位及人员的设置情况，重点检查是否存在与货币资金业务不相容职务混岗的现象。</w:t>
      </w:r>
    </w:p>
    <w:p>
      <w:pPr>
        <w:ind w:firstLine="560" w:firstLineChars="200"/>
        <w:rPr>
          <w:rFonts w:hint="eastAsia"/>
          <w:sz w:val="28"/>
          <w:szCs w:val="28"/>
          <w:lang w:eastAsia="zh-CN"/>
        </w:rPr>
      </w:pPr>
      <w:r>
        <w:rPr>
          <w:rFonts w:hint="eastAsia"/>
          <w:sz w:val="28"/>
          <w:szCs w:val="28"/>
          <w:lang w:eastAsia="zh-CN"/>
        </w:rPr>
        <w:t>（三）部门印章、财务专用章和银行预留印鉴保管情况，重点检查是否存在交由一人保管现象。</w:t>
      </w:r>
    </w:p>
    <w:p>
      <w:pPr>
        <w:ind w:firstLine="560" w:firstLineChars="200"/>
        <w:rPr>
          <w:rFonts w:hint="eastAsia"/>
          <w:sz w:val="28"/>
          <w:szCs w:val="28"/>
          <w:lang w:eastAsia="zh-CN"/>
        </w:rPr>
      </w:pPr>
      <w:r>
        <w:rPr>
          <w:rFonts w:hint="eastAsia"/>
          <w:sz w:val="28"/>
          <w:szCs w:val="28"/>
          <w:lang w:eastAsia="zh-CN"/>
        </w:rPr>
        <w:t>（四）空白票据保管情况，重点检查空白票据是否存在预先盖章现象。</w:t>
      </w:r>
    </w:p>
    <w:p>
      <w:pPr>
        <w:ind w:firstLine="560" w:firstLineChars="200"/>
        <w:rPr>
          <w:sz w:val="28"/>
          <w:szCs w:val="28"/>
        </w:rPr>
      </w:pPr>
      <w:r>
        <w:rPr>
          <w:rFonts w:hint="eastAsia"/>
          <w:sz w:val="28"/>
          <w:szCs w:val="28"/>
        </w:rPr>
        <w:t>（</w:t>
      </w:r>
      <w:r>
        <w:rPr>
          <w:rFonts w:hint="eastAsia"/>
          <w:sz w:val="28"/>
          <w:szCs w:val="28"/>
          <w:lang w:eastAsia="zh-CN"/>
        </w:rPr>
        <w:t>五</w:t>
      </w:r>
      <w:r>
        <w:rPr>
          <w:rFonts w:hint="eastAsia"/>
          <w:sz w:val="28"/>
          <w:szCs w:val="28"/>
        </w:rPr>
        <w:t>）货币资金授权批准制度的执行情况。重点检查货币资金支出的授权批准手续是否健全，是否存在越权审批行为。</w:t>
      </w:r>
    </w:p>
    <w:p>
      <w:pPr>
        <w:widowControl/>
        <w:spacing w:line="570" w:lineRule="atLeast"/>
        <w:jc w:val="left"/>
        <w:rPr>
          <w:sz w:val="28"/>
          <w:szCs w:val="28"/>
        </w:rPr>
      </w:pPr>
      <w:r>
        <w:rPr>
          <w:rFonts w:hint="eastAsia"/>
          <w:b/>
          <w:sz w:val="28"/>
          <w:szCs w:val="28"/>
        </w:rPr>
        <w:t>第十一条</w:t>
      </w:r>
      <w:r>
        <w:rPr>
          <w:rFonts w:ascii="楷体_GB2312" w:hAnsi="宋体" w:eastAsia="楷体_GB2312" w:cs="宋体"/>
          <w:b/>
          <w:bCs/>
          <w:color w:val="000000"/>
          <w:kern w:val="0"/>
          <w:sz w:val="32"/>
        </w:rPr>
        <w:t xml:space="preserve"> </w:t>
      </w:r>
      <w:r>
        <w:rPr>
          <w:rFonts w:hint="eastAsia"/>
          <w:sz w:val="28"/>
          <w:szCs w:val="28"/>
        </w:rPr>
        <w:t>本办法由财务处负责解释。</w:t>
      </w:r>
    </w:p>
    <w:p>
      <w:pPr>
        <w:widowControl/>
        <w:spacing w:line="570" w:lineRule="atLeast"/>
        <w:jc w:val="left"/>
        <w:rPr>
          <w:sz w:val="28"/>
          <w:szCs w:val="28"/>
        </w:rPr>
      </w:pPr>
      <w:r>
        <w:rPr>
          <w:rFonts w:hint="eastAsia"/>
          <w:b/>
          <w:sz w:val="28"/>
          <w:szCs w:val="28"/>
        </w:rPr>
        <w:t>第十二条</w:t>
      </w:r>
      <w:r>
        <w:rPr>
          <w:rFonts w:ascii="楷体_GB2312" w:hAnsi="宋体" w:eastAsia="楷体_GB2312" w:cs="宋体"/>
          <w:b/>
          <w:bCs/>
          <w:color w:val="000000"/>
          <w:kern w:val="0"/>
          <w:sz w:val="32"/>
        </w:rPr>
        <w:t xml:space="preserve"> </w:t>
      </w:r>
      <w:r>
        <w:rPr>
          <w:rFonts w:hint="eastAsia"/>
          <w:sz w:val="28"/>
          <w:szCs w:val="28"/>
        </w:rPr>
        <w:t>本办法自发布之日起执行。</w:t>
      </w:r>
    </w:p>
    <w:p>
      <w:pPr>
        <w:ind w:left="5600" w:hanging="5600" w:hangingChars="2000"/>
        <w:rPr>
          <w:sz w:val="28"/>
          <w:szCs w:val="28"/>
        </w:rPr>
      </w:pPr>
      <w:r>
        <w:rPr>
          <w:sz w:val="28"/>
          <w:szCs w:val="28"/>
        </w:rPr>
        <w:t xml:space="preserve">                                       </w:t>
      </w:r>
      <w:r>
        <w:rPr>
          <w:rFonts w:hint="eastAsia"/>
          <w:sz w:val="28"/>
          <w:szCs w:val="28"/>
          <w:lang w:val="en-US" w:eastAsia="zh-CN"/>
        </w:rPr>
        <w:t xml:space="preserve">      </w:t>
      </w:r>
      <w:r>
        <w:rPr>
          <w:sz w:val="28"/>
          <w:szCs w:val="28"/>
        </w:rPr>
        <w:t xml:space="preserve">                                   </w:t>
      </w:r>
      <w:r>
        <w:rPr>
          <w:rFonts w:hint="eastAsia"/>
          <w:sz w:val="28"/>
          <w:szCs w:val="28"/>
          <w:lang w:val="en-US" w:eastAsia="zh-CN"/>
        </w:rPr>
        <w:t xml:space="preserve">      </w:t>
      </w:r>
      <w:r>
        <w:rPr>
          <w:sz w:val="28"/>
          <w:szCs w:val="28"/>
        </w:rPr>
        <w:t xml:space="preserve"> 2018</w:t>
      </w:r>
      <w:r>
        <w:rPr>
          <w:rFonts w:hint="eastAsia"/>
          <w:sz w:val="28"/>
          <w:szCs w:val="28"/>
        </w:rPr>
        <w:t>年</w:t>
      </w:r>
      <w:r>
        <w:rPr>
          <w:sz w:val="28"/>
          <w:szCs w:val="28"/>
        </w:rPr>
        <w:t>1</w:t>
      </w:r>
      <w:r>
        <w:rPr>
          <w:rFonts w:hint="eastAsia"/>
          <w:sz w:val="28"/>
          <w:szCs w:val="28"/>
          <w:lang w:val="en-US" w:eastAsia="zh-CN"/>
        </w:rPr>
        <w:t>1</w:t>
      </w:r>
      <w:r>
        <w:rPr>
          <w:rFonts w:hint="eastAsia"/>
          <w:sz w:val="28"/>
          <w:szCs w:val="28"/>
        </w:rPr>
        <w:t>月</w:t>
      </w:r>
    </w:p>
    <w:p>
      <w:pPr>
        <w:pStyle w:val="5"/>
        <w:spacing w:before="0" w:beforeAutospacing="0" w:after="0" w:afterAutospacing="0" w:line="315" w:lineRule="atLeast"/>
        <w:ind w:firstLine="480"/>
        <w:jc w:val="center"/>
        <w:rPr>
          <w:b/>
          <w:bCs/>
          <w:color w:val="323232"/>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4646"/>
    <w:rsid w:val="00005C9D"/>
    <w:rsid w:val="000473D9"/>
    <w:rsid w:val="0007230F"/>
    <w:rsid w:val="000D594E"/>
    <w:rsid w:val="000E1645"/>
    <w:rsid w:val="000F1284"/>
    <w:rsid w:val="000F23F7"/>
    <w:rsid w:val="00132075"/>
    <w:rsid w:val="00176942"/>
    <w:rsid w:val="001B5577"/>
    <w:rsid w:val="002240DF"/>
    <w:rsid w:val="00234949"/>
    <w:rsid w:val="00270B9E"/>
    <w:rsid w:val="00293A89"/>
    <w:rsid w:val="002D2C95"/>
    <w:rsid w:val="00300696"/>
    <w:rsid w:val="003E47BF"/>
    <w:rsid w:val="00462AB4"/>
    <w:rsid w:val="00473324"/>
    <w:rsid w:val="00495A29"/>
    <w:rsid w:val="004B24CB"/>
    <w:rsid w:val="004C4977"/>
    <w:rsid w:val="004E2B62"/>
    <w:rsid w:val="00501BFB"/>
    <w:rsid w:val="00501D98"/>
    <w:rsid w:val="005246E8"/>
    <w:rsid w:val="0056168D"/>
    <w:rsid w:val="00582911"/>
    <w:rsid w:val="006117B1"/>
    <w:rsid w:val="00620A1B"/>
    <w:rsid w:val="00625378"/>
    <w:rsid w:val="006D1733"/>
    <w:rsid w:val="006E3604"/>
    <w:rsid w:val="00703A32"/>
    <w:rsid w:val="0072515A"/>
    <w:rsid w:val="00725EA1"/>
    <w:rsid w:val="0075192E"/>
    <w:rsid w:val="00777413"/>
    <w:rsid w:val="007C501B"/>
    <w:rsid w:val="007D6852"/>
    <w:rsid w:val="00843FD5"/>
    <w:rsid w:val="00885E90"/>
    <w:rsid w:val="009027CD"/>
    <w:rsid w:val="00991BAB"/>
    <w:rsid w:val="00A03EC3"/>
    <w:rsid w:val="00A34646"/>
    <w:rsid w:val="00AC2776"/>
    <w:rsid w:val="00B13773"/>
    <w:rsid w:val="00B35729"/>
    <w:rsid w:val="00B67F36"/>
    <w:rsid w:val="00BF24FD"/>
    <w:rsid w:val="00C14D9D"/>
    <w:rsid w:val="00C91D04"/>
    <w:rsid w:val="00CA18EC"/>
    <w:rsid w:val="00CF4223"/>
    <w:rsid w:val="00D22A1A"/>
    <w:rsid w:val="00DB5222"/>
    <w:rsid w:val="00DE2D56"/>
    <w:rsid w:val="00E91F5F"/>
    <w:rsid w:val="00EE1B70"/>
    <w:rsid w:val="00F071BF"/>
    <w:rsid w:val="00F16762"/>
    <w:rsid w:val="00F17992"/>
    <w:rsid w:val="00F4781B"/>
    <w:rsid w:val="00F75C78"/>
    <w:rsid w:val="081331A8"/>
    <w:rsid w:val="08C94F54"/>
    <w:rsid w:val="090E0642"/>
    <w:rsid w:val="09B83740"/>
    <w:rsid w:val="09F83CFC"/>
    <w:rsid w:val="0C7B752B"/>
    <w:rsid w:val="116F26E0"/>
    <w:rsid w:val="11A37BF8"/>
    <w:rsid w:val="16E83570"/>
    <w:rsid w:val="1ADA2B62"/>
    <w:rsid w:val="1BED25AF"/>
    <w:rsid w:val="21425514"/>
    <w:rsid w:val="2C4511A0"/>
    <w:rsid w:val="30B07D03"/>
    <w:rsid w:val="3308574C"/>
    <w:rsid w:val="3A891132"/>
    <w:rsid w:val="3D310DBD"/>
    <w:rsid w:val="3DB4243F"/>
    <w:rsid w:val="3DBD2B5C"/>
    <w:rsid w:val="3FC4659E"/>
    <w:rsid w:val="41681CCC"/>
    <w:rsid w:val="47E43179"/>
    <w:rsid w:val="50514051"/>
    <w:rsid w:val="57C37EAC"/>
    <w:rsid w:val="5A1D6F12"/>
    <w:rsid w:val="5B360250"/>
    <w:rsid w:val="5B844A8C"/>
    <w:rsid w:val="5D2C338F"/>
    <w:rsid w:val="67392A4A"/>
    <w:rsid w:val="6BE930AF"/>
    <w:rsid w:val="7CFD204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3"/>
    <w:qFormat/>
    <w:uiPriority w:val="99"/>
    <w:pPr>
      <w:ind w:left="100" w:leftChars="2500"/>
    </w:pPr>
  </w:style>
  <w:style w:type="paragraph" w:styleId="3">
    <w:name w:val="footer"/>
    <w:basedOn w:val="1"/>
    <w:link w:val="12"/>
    <w:semiHidden/>
    <w:qFormat/>
    <w:uiPriority w:val="99"/>
    <w:pPr>
      <w:tabs>
        <w:tab w:val="center" w:pos="4153"/>
        <w:tab w:val="right" w:pos="8306"/>
      </w:tabs>
      <w:snapToGrid w:val="0"/>
      <w:spacing w:line="240" w:lineRule="auto"/>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qFormat/>
    <w:uiPriority w:val="99"/>
    <w:pPr>
      <w:widowControl/>
      <w:spacing w:before="100" w:beforeAutospacing="1" w:after="100" w:afterAutospacing="1" w:line="240" w:lineRule="auto"/>
      <w:jc w:val="left"/>
    </w:pPr>
    <w:rPr>
      <w:rFonts w:ascii="宋体" w:hAnsi="宋体" w:cs="宋体"/>
      <w:kern w:val="0"/>
      <w:sz w:val="24"/>
      <w:szCs w:val="24"/>
    </w:rPr>
  </w:style>
  <w:style w:type="character" w:styleId="7">
    <w:name w:val="Strong"/>
    <w:basedOn w:val="6"/>
    <w:qFormat/>
    <w:locked/>
    <w:uiPriority w:val="99"/>
    <w:rPr>
      <w:rFonts w:cs="Times New Roman"/>
      <w:b/>
      <w:bCs/>
    </w:rPr>
  </w:style>
  <w:style w:type="character" w:styleId="8">
    <w:name w:val="FollowedHyperlink"/>
    <w:basedOn w:val="6"/>
    <w:semiHidden/>
    <w:unhideWhenUsed/>
    <w:qFormat/>
    <w:uiPriority w:val="99"/>
    <w:rPr>
      <w:color w:val="000000"/>
      <w:sz w:val="18"/>
      <w:szCs w:val="18"/>
      <w:u w:val="none"/>
    </w:rPr>
  </w:style>
  <w:style w:type="character" w:styleId="9">
    <w:name w:val="Hyperlink"/>
    <w:basedOn w:val="6"/>
    <w:qFormat/>
    <w:uiPriority w:val="99"/>
    <w:rPr>
      <w:rFonts w:cs="Times New Roman"/>
      <w:color w:val="0000FF"/>
      <w:u w:val="single"/>
    </w:rPr>
  </w:style>
  <w:style w:type="character" w:customStyle="1" w:styleId="11">
    <w:name w:val="Header Char"/>
    <w:basedOn w:val="6"/>
    <w:link w:val="4"/>
    <w:semiHidden/>
    <w:qFormat/>
    <w:locked/>
    <w:uiPriority w:val="99"/>
    <w:rPr>
      <w:rFonts w:cs="Times New Roman"/>
      <w:sz w:val="18"/>
      <w:szCs w:val="18"/>
    </w:rPr>
  </w:style>
  <w:style w:type="character" w:customStyle="1" w:styleId="12">
    <w:name w:val="Footer Char"/>
    <w:basedOn w:val="6"/>
    <w:link w:val="3"/>
    <w:semiHidden/>
    <w:qFormat/>
    <w:locked/>
    <w:uiPriority w:val="99"/>
    <w:rPr>
      <w:rFonts w:cs="Times New Roman"/>
      <w:sz w:val="18"/>
      <w:szCs w:val="18"/>
    </w:rPr>
  </w:style>
  <w:style w:type="character" w:customStyle="1" w:styleId="13">
    <w:name w:val="Date Char"/>
    <w:basedOn w:val="6"/>
    <w:link w:val="2"/>
    <w:semiHidden/>
    <w:qFormat/>
    <w:locked/>
    <w:uiPriority w:val="99"/>
    <w:rPr>
      <w:rFonts w:cs="Times New Roman"/>
    </w:rPr>
  </w:style>
  <w:style w:type="character" w:customStyle="1" w:styleId="14">
    <w:name w:val="item-name"/>
    <w:basedOn w:val="6"/>
    <w:qFormat/>
    <w:uiPriority w:val="0"/>
  </w:style>
  <w:style w:type="character" w:customStyle="1" w:styleId="15">
    <w:name w:val="item-name1"/>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Sky123.Org</Company>
  <Pages>5</Pages>
  <Words>1199</Words>
  <Characters>1200</Characters>
  <Lines>0</Lines>
  <Paragraphs>0</Paragraphs>
  <TotalTime>8</TotalTime>
  <ScaleCrop>false</ScaleCrop>
  <LinksUpToDate>false</LinksUpToDate>
  <CharactersWithSpaces>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2018-10-09T02:45:00Z</dcterms:created>
  <dc:creator>刘晨</dc:creator>
  <cp:lastModifiedBy>刘晨</cp:lastModifiedBy>
  <dcterms:modified xsi:type="dcterms:W3CDTF">2018-11-22T07:09:24Z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