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/>
        <w:jc w:val="center"/>
        <w:rPr>
          <w:rFonts w:ascii="楷体" w:hAnsi="楷体" w:eastAsia="楷体" w:cs="楷体"/>
          <w:kern w:val="0"/>
          <w:sz w:val="52"/>
          <w:szCs w:val="52"/>
        </w:rPr>
      </w:pPr>
      <w:r>
        <w:rPr>
          <w:rFonts w:hint="eastAsia" w:ascii="楷体" w:hAnsi="楷体" w:eastAsia="楷体" w:cs="楷体"/>
          <w:kern w:val="0"/>
          <w:sz w:val="52"/>
          <w:szCs w:val="52"/>
        </w:rPr>
        <w:t>网络报销</w:t>
      </w:r>
      <w:r>
        <w:rPr>
          <w:rFonts w:ascii="楷体" w:hAnsi="楷体" w:eastAsia="楷体" w:cs="楷体"/>
          <w:kern w:val="0"/>
          <w:sz w:val="52"/>
          <w:szCs w:val="52"/>
        </w:rPr>
        <w:t>系统使用说明书</w:t>
      </w:r>
    </w:p>
    <w:p>
      <w:pPr>
        <w:pStyle w:val="3"/>
        <w:widowControl/>
        <w:spacing w:beforeAutospacing="1" w:afterAutospacing="1"/>
        <w:ind w:left="720" w:hanging="72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．</w:t>
      </w:r>
      <w:r>
        <w:rPr>
          <w:rFonts w:hint="eastAsia" w:ascii="楷体" w:hAnsi="楷体" w:eastAsia="楷体" w:cs="楷体"/>
          <w:sz w:val="28"/>
          <w:szCs w:val="28"/>
        </w:rPr>
        <w:t>操作说明。</w:t>
      </w:r>
    </w:p>
    <w:p>
      <w:pPr>
        <w:pStyle w:val="3"/>
        <w:widowControl/>
        <w:spacing w:beforeAutospacing="1" w:afterAutospacing="1"/>
        <w:ind w:left="720" w:hanging="72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t xml:space="preserve">          </w:t>
      </w:r>
      <w:r>
        <w:rPr>
          <w:rFonts w:hint="eastAsia"/>
          <w:lang w:val="en-US" w:eastAsia="zh-CN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本</w:t>
      </w:r>
      <w:r>
        <w:rPr>
          <w:rFonts w:ascii="楷体" w:hAnsi="楷体" w:eastAsia="楷体" w:cs="楷体"/>
          <w:sz w:val="28"/>
          <w:szCs w:val="28"/>
        </w:rPr>
        <w:t>系统</w:t>
      </w:r>
      <w:r>
        <w:rPr>
          <w:rFonts w:hint="eastAsia" w:ascii="楷体" w:hAnsi="楷体" w:eastAsia="楷体" w:cs="楷体"/>
          <w:sz w:val="28"/>
          <w:szCs w:val="28"/>
        </w:rPr>
        <w:t>仅支</w:t>
      </w:r>
      <w:r>
        <w:rPr>
          <w:rFonts w:ascii="楷体" w:hAnsi="楷体" w:eastAsia="楷体" w:cs="楷体"/>
          <w:sz w:val="28"/>
          <w:szCs w:val="28"/>
        </w:rPr>
        <w:t>持IE10</w:t>
      </w:r>
      <w:r>
        <w:rPr>
          <w:rFonts w:hint="eastAsia" w:ascii="楷体" w:hAnsi="楷体" w:eastAsia="楷体" w:cs="楷体"/>
          <w:sz w:val="28"/>
          <w:szCs w:val="28"/>
        </w:rPr>
        <w:t>及以</w:t>
      </w:r>
      <w:r>
        <w:rPr>
          <w:rFonts w:ascii="楷体" w:hAnsi="楷体" w:eastAsia="楷体" w:cs="楷体"/>
          <w:sz w:val="28"/>
          <w:szCs w:val="28"/>
        </w:rPr>
        <w:t>上</w:t>
      </w:r>
      <w:r>
        <w:rPr>
          <w:rFonts w:hint="eastAsia" w:ascii="楷体" w:hAnsi="楷体" w:eastAsia="楷体" w:cs="楷体"/>
          <w:sz w:val="28"/>
          <w:szCs w:val="28"/>
        </w:rPr>
        <w:t>IE</w:t>
      </w:r>
      <w:r>
        <w:rPr>
          <w:rFonts w:ascii="楷体" w:hAnsi="楷体" w:eastAsia="楷体" w:cs="楷体"/>
          <w:sz w:val="28"/>
          <w:szCs w:val="28"/>
        </w:rPr>
        <w:t>内核的浏览器或火狐浏览器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因各个用户的权限不同，用户会存在菜单栏的差异和功能的差异 .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3.登陆网上报销系统的路径:学校官网首页→→管理机构→→财务处→→财务信息平台 （针对学校不同，可能显示的也不一样）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二．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登录 </w:t>
      </w:r>
    </w:p>
    <w:p>
      <w:pPr>
        <w:keepNext w:val="0"/>
        <w:keepLines w:val="0"/>
        <w:widowControl/>
        <w:suppressLineNumbers w:val="0"/>
        <w:ind w:firstLine="112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（一）、动态令牌登录：账号（本人工号）+动态密码（动态令牌随机 </w:t>
      </w:r>
    </w:p>
    <w:p>
      <w:pPr>
        <w:keepNext w:val="0"/>
        <w:keepLines w:val="0"/>
        <w:widowControl/>
        <w:suppressLineNumbers w:val="0"/>
        <w:ind w:firstLine="2240" w:firstLineChars="8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显示的号码）+验证码， </w:t>
      </w:r>
    </w:p>
    <w:p>
      <w:pPr>
        <w:keepNext w:val="0"/>
        <w:keepLines w:val="0"/>
        <w:widowControl/>
        <w:suppressLineNumbers w:val="0"/>
        <w:ind w:firstLine="2240" w:firstLineChars="8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动态令牌的发放：有审批权的各级领导由财务处统一发放；教科 </w:t>
      </w:r>
    </w:p>
    <w:p>
      <w:pPr>
        <w:keepNext w:val="0"/>
        <w:keepLines w:val="0"/>
        <w:widowControl/>
        <w:suppressLineNumbers w:val="0"/>
        <w:ind w:firstLine="2240" w:firstLineChars="8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研等个人项目的项目负责人，如果有需要，可以自愿购置。 </w:t>
      </w:r>
    </w:p>
    <w:p>
      <w:pPr>
        <w:keepNext w:val="0"/>
        <w:keepLines w:val="0"/>
        <w:widowControl/>
        <w:suppressLineNumbers w:val="0"/>
        <w:ind w:firstLine="1120" w:firstLineChars="4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（二）、非动态令牌登录： 账号（本人工号）+密码（身份证好后六 </w:t>
      </w:r>
    </w:p>
    <w:p>
      <w:pPr>
        <w:keepNext w:val="0"/>
        <w:keepLines w:val="0"/>
        <w:widowControl/>
        <w:suppressLineNumbers w:val="0"/>
        <w:ind w:firstLine="2240" w:firstLineChars="8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位）+验证码 。</w:t>
      </w:r>
    </w:p>
    <w:p>
      <w:pPr>
        <w:pStyle w:val="3"/>
        <w:widowControl/>
        <w:numPr>
          <w:ilvl w:val="0"/>
          <w:numId w:val="0"/>
        </w:numPr>
        <w:spacing w:beforeAutospacing="1" w:afterAutospacing="1"/>
        <w:ind w:leftChars="0"/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三．</w:t>
      </w:r>
      <w:r>
        <w:rPr>
          <w:rFonts w:hint="eastAsia" w:ascii="楷体" w:hAnsi="楷体" w:eastAsia="楷体" w:cs="楷体"/>
          <w:sz w:val="28"/>
          <w:szCs w:val="28"/>
        </w:rPr>
        <w:t>个人设置</w:t>
      </w:r>
    </w:p>
    <w:p>
      <w:pPr>
        <w:pStyle w:val="3"/>
        <w:widowControl/>
        <w:numPr>
          <w:ilvl w:val="0"/>
          <w:numId w:val="0"/>
        </w:numPr>
        <w:spacing w:beforeAutospacing="1" w:afterAutospacing="1"/>
        <w:ind w:leftChars="0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个人设置需要修改的有：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1）移动号码（短信通知）；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2）个人的签名图片（电子签名、 图片的名称不能使用汉字）。修改 </w:t>
      </w:r>
    </w:p>
    <w:p>
      <w:pPr>
        <w:keepNext w:val="0"/>
        <w:keepLines w:val="0"/>
        <w:widowControl/>
        <w:suppressLineNumbers w:val="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好了之后 点击“保存”后确定。</w:t>
      </w:r>
    </w:p>
    <w:p>
      <w:pPr>
        <w:pStyle w:val="3"/>
        <w:widowControl/>
        <w:spacing w:beforeAutospacing="1" w:afterAutospacing="1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注：此功能是对自己信息的完善(签名图片名称不允许有汉字，一般为 工号.jpg,例：88888.jpg)，</w:t>
      </w:r>
    </w:p>
    <w:p>
      <w:pPr>
        <w:pStyle w:val="3"/>
        <w:widowControl/>
        <w:spacing w:beforeAutospacing="1" w:afterAutospacing="1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完善后点击 保存==》确定 即可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22055" cy="3107690"/>
            <wp:effectExtent l="0" t="0" r="17145" b="16510"/>
            <wp:docPr id="2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2055" cy="3107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项目授权和授权取消（部门负责人、项目负责人使用）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注：部分学校启用项目授权，部分学校不启用项目授权。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报销人只有在得到项目负责人授权后，才能在网报系统中，选择使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用该项目报销。授权的原则：部门公共项目授予部门中的每个人员；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个人项目授予项目的成员。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（一）、项目授权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点击“系统功能” 再点击“项目授权设置”后看到的红色字体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为项目授权的步骤，具体如下：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第一步 选择项目:勾选需要授权的项目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第二步 选择授权人：点击“添加”可在查询前输入被授权人的姓名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或工号，查询出来后勾选，下拉至确定按钮区，点击确定。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第三步 点击批量授权，此处可选择增加授权的截止时间，截止日期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后系统自动终止授权，被授权人不能再使用。具体操作：批量赋值前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面的输入框中输入日期，点击批量赋值。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第四步 确认授权 勾选授权的表格数据（一定要勾选/默认情况是勾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选的），点击确认授权。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07400" cy="3719830"/>
            <wp:effectExtent l="0" t="0" r="12700" b="13970"/>
            <wp:docPr id="30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3719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（二）、取消项目授权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进入系统点击“系统功能”再点击“项目授权查询”，左侧会出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现所属的项目，点击项目 ，若项目被授权过，右侧会出现被授权的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人员；若项目未被授权，右侧则为空白区。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取消授权的具体操作步骤：（1）找到右侧的授权人员，（2）勾选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表格中需要取消授权的人员，（3）点击取消授权，（4）点击确定。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五、网络报销（报销人员使用）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（一）借款单录入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 “报销录入”再点击“借款录入”出现录入的主页面后，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点击“新增单据”填写必要信息，橘红色字体的项目是必须填写的，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具体操作步骤如下：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169400" cy="2603500"/>
            <wp:effectExtent l="0" t="0" r="12700" b="6350"/>
            <wp:docPr id="2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第一步 填写借款信息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1、填写“用途”栏，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2、借款类型（如有则选填），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3、项目代码：点击输入框，系统自动调出本人负责的项目或被项目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负责人授权的项目表格，如果项目比较多可以使用搜索功能（搜索条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件可以是部门编号、部门名称、项目编号、项目名称等四个条件中的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任意一项）。在项目列表中，点击需要填报的经费项目,系统将自动读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取填列：项目代码、项目名称、部门代码、部门名称。同时，在“备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注”的下方会出现开项目的余额（橘红色字体）。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4、借款金额（输入的为数字）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5、预冲账日期（选择）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6、确认借款信息已编辑后，点击下一步或“支付方式”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第二步 支付方式填写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1、增加支付方式：点击“增加行”系统调出“增加支付清单”的界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面，点击“支付方式”可以选择：公务卡、冲借款、对公转账、个人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银行等四种支付方式。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支付可以采用多种多笔组合的方式，但是支付的总金额必须等于借款金额 ，不然提交的时候会提示错误。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2、四种支付方式的具体操作：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(1) 公务卡支付方式的具体操作步骤：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A、在“增加支付清单”的界面，点击“支付方式”选择工行公务卡，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B、点击人员编号前的输入框， 确定人员（可以按人员名称/人员编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号搜索） 点击需要的人员，系统将自动读取填列：人员编号、人员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名称、公务卡号（前提是该人员已经在网报系统中完善了个人信息）。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C、刷卡日期，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D、刷卡金额（填写数字 单位为元），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E、实报金额（填写数字 单位为元），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F、商户，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G、备注（选填，需要说明的其他情况）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H、确认以上信息已编辑完毕后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b、如不需要再增加支付信息，点击下一步或“附件清单”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如下图：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89950" cy="2886710"/>
            <wp:effectExtent l="0" t="0" r="6350" b="8890"/>
            <wp:docPr id="2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9950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（2）冲借款支付方式的具体操作步骤：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A、在“增加支付清单”的界面，点击“支付方式”选择冲借款，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C、对冲号选择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D、备注（选填，需要说明的其他情况）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a、如果还需要继续填写下一条支付信息的点击“增加行”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b、如不需要再增加支付信息，点击下一步或“附件清单”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40625" cy="3103245"/>
            <wp:effectExtent l="0" t="0" r="3175" b="190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3103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(3 )对公转账支付方式的具体操作步骤：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在“增加支付清单”的界面，点击“支付方式”选择对公转账。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A、如果收款人(单位)是与学校有长期合作关系，并已经登记在财务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系统中的单位，可使用检索查询收款单位，点击选中收款人(单位)，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系统将自动读取填列：收款人/单位、开户行、银行账号。报销人核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对上述信息无误后，填列金额（填报数字 单位为元）和备注（选填）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B、如果检索不到收款单位，需要报销人逐项填列以下内容：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a、收款人（单位在银行开户的全称）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b、开户行（必须具体到开户的网点的名称）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c、银行账号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b、如不需要再增加支付信息，点击下一步或“附件清单”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223250" cy="2928620"/>
            <wp:effectExtent l="0" t="0" r="6350" b="508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3250" cy="2928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(4)个人银行卡支付方式的具体操作步骤：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在“增加支付清单”的界面，点击“支付方式”选择个人银行卡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A、收款人为本校职工或学生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a、人员编号（职工为工号、学生为学号或身份证号码）可以手动填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写，也可以分别点击“职工”“学生”，跳出人员列表后，使用检索查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询收款人，点击选中收款人，系统将自动读取填列：人员编号、人员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名称。若是手动填写人员编号，则人员名称也需要手动填写。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b、开户行可以手动填写，也可以点击“开户行”，选中开户行，系统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将自动读取填列：开户行、银行账号，若是手动填写开户行，则银行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账号也需要手动填写。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 实报金额（填报数字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 备注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B、收款人不是本校职工或学生，逐项按规定填写以下内容：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a、人员编号必须为收款人的身份证号码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b、人员名称（必须与银行开户的姓名一致）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c、开户行（必须具体到开户的网点的名称）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d、银行账号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e、实报金额（填报数字 单位为元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f、备注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b、如不需要再增加支付信息，点击下一步或“附件清单”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529195" cy="2802255"/>
            <wp:effectExtent l="0" t="0" r="14605" b="1714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3、修改和删除支付方式的操作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(1）修改支付方式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不能更改其支付方式，且一次只能修改一条支付数据不可多选，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只能在原来的支付方式内部修改其他数据 如：金额、收款人、开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户行、银行账号、备注等具体步骤如下：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A、在支付方式的主界面上，勾选需要修改的数据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B、点击修改行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C、在调出修改支付清单的界面，修改相关内容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D、确认信息已编辑好点击确认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149590" cy="3180080"/>
            <wp:effectExtent l="0" t="0" r="3810" b="127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49590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（2）删除支付方式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规则：在支付方式的主界面上，勾选需要删除的数据，点击删除行点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击确认，删除可以多删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第三步 附件清单的上传和填写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在“附件清单”的界面，点击“增加行” 调出“附件清单”界面后，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具体步骤如下：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1、填写附件说明（附件名称和需要说明的情况），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2、点击界面下方的“浏览”上传附件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3、可以点击附件文件名查看，若图片需要旋转查看，需要点击下图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片会看到一系列的按钮，其中右边第四个是旋转查看的按钮，不需要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使用旋转时，点击图片或使用键盘上的 Esc 键退出。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确认信息已编辑好 点击确认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004175" cy="3243580"/>
            <wp:effectExtent l="0" t="0" r="15875" b="1397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4175" cy="3243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第四步 提交单据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点击“提交”按钮就可以了，这时候我们就可以看到单据是待审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批的状态了。待审批的单据，报销人不能再进行修改，所以，再确定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提交前，报销人一定要仔细确认借款信息、支付信息填写无误，上传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的附件完整齐备。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（二）差旅费报销录入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点击 “报销录入”再点击“差旅费录入”出现录入的主页面后，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点击“新增单据”填写必要信息，橘红色字体的项目是必须填写的，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具体操作步骤如下：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862820" cy="2711450"/>
            <wp:effectExtent l="0" t="0" r="5080" b="1270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6282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第一步 填写差旅费信息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1、填写“出差事由”栏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2、出差地点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3、项目代码：点击输入框，系统自动调出本人负责的项目或被项目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负责人授权的项目表格，如果项目比较多可以使用搜索功能（搜索条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件可以是部门编号、部门名称、项目编号、项目名称等四个条件中的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任意一项）。在项目列表中，点击需要填报的经费项目,系统将自动读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取填列：项目代码、项目名称、部门代码、部门名称。同时，在“备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注”的下方会出现开项目的余额（橘红色字体）。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4、开始时间+结束时间（选择）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5、备注（选填需要说明的事项）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6、确认借款信息已编辑后，点击下一步或“报销明细（不含补助）”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第二步 填写报销明细（不含补助）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报销明细（不含补助）只填报差旅的各项费用如：交通费、住宿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费、会务费等实际发生的费用，差旅补助的填报在第四步“补助清单”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中填报。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1、在“报销明细（不含补助）”点击“增加行”，在调出的界面中点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击“费用类别”，按照实际发生的费用选择：交通费、住宿费、会务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培训费、其他费用。在以下四种填列方法中选择一种据实填报。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如下图：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26830" cy="3267075"/>
            <wp:effectExtent l="0" t="0" r="7620" b="952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2683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第二步 支付方式填写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1、增加支付方式：点击“增加行”系统调出“增加支付清单”的界面，点击“支付方式”可以选择：公务卡、冲借款、对公转账、个人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银行等四种支付方式。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支付可以采用多种多笔组合的方式，但是支付的总金额必须等于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借款金额 ，不然提交的时候会提示错误。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2、四种支付方式的具体操作：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(1) 公务卡支付方式的具体操作步骤：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781415" cy="3262630"/>
            <wp:effectExtent l="0" t="0" r="635" b="1397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81415" cy="3262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A、在“增加支付清单”的界面，点击“支付方式”选择农行公务卡，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B、点击人员编号前的输入框， 确定人员（可以按人员名称/人员编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号搜索） 点击需要的人员，系统将自动读取填列：人员编号、人员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名称、公务卡号（前提是该人员已经在网报系统中完善了个人信息）。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C、刷卡日期，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D、刷卡金额（填写数字 单位为元），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E、实报金额（填写数字 单位为元），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F、商户，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G、备注（选填，需要说明的其他情况）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H、确认以上信息已编辑完毕后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b、如不需要再增加支付信息，点击下一步或“补助清单”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（2）冲借款支付方式的具体操作步骤：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67470" cy="3113405"/>
            <wp:effectExtent l="0" t="0" r="5080" b="10795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967470" cy="3113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A、在“增加支付清单”的界面，点击“支付方式”选择冲借款，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C、对冲号选择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淮北师范大学网络报销审批系统使用说明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D、备注（选填，需要说明的其他情况）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b、如不需要再增加支付信息，点击下一步或“补助清单”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(3 )对公转账支付方式的具体操作步骤：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011920" cy="3274695"/>
            <wp:effectExtent l="0" t="0" r="17780" b="1905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1920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特别说明：①报销明细（不含补助）的总金额等于支付方式（不含补助）的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总金额。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在“增加支付清单”的界面，点击“支付方式”选择对公转账。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A、如果收款人(单位)是与学校有长期合作关系，并已经登记在财务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系统中的单位，可使用检索查询收款单位，点击选中收款人(单位)，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系统将自动读取填列：收款人/单位、开户行、银行账号。报销人核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对上述信息无误后，填写金额（填报数字 单位为元）和备注（选填）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B、如果检索不到收款单位，需要报销人逐项填列以下内容：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a、收款人（单位在银行开户的全称）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b、开户行（必须具体到开户的网点的名称）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c、银行账号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C、确认以上信息已编辑完毕后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a、如果还需要继续填写下一条支付信息的点击“增加行”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b、如不需要再增加支付信息，点击下一步或“补助清单”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(4)个人银行卡支付方式的具体操作步骤：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356090" cy="3202940"/>
            <wp:effectExtent l="0" t="0" r="16510" b="1651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356090" cy="3202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在“增加支付清单”的界面，点击“支付方式”选择个人银行卡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A、收款人为本校职工或学生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a、人员编号（职工为工号、学生为学号或身份证号码）可以手动填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写，也可以分别点击“职工”“学生”，跳出人员列表后，使用检索查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询收款人，点击选中收款人，系统将自动读取填列：人员编号、人员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名称。若是手动填写人员编号，则人员名称也需要手动填写。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b、开户行可以手动填写，也可以点击“开户行”，选中开户行，系统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将自动读取填列：开户行、银行账号，若是手动填写开户行，则银行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账号也需要手动填写。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 实报金额（填报数字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 备注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B、收款人不是本校职工或学生，逐项按规定填写以下内容：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a、人员编号必须为收款人的身份证号码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b、人员名称（必须与银行开户的姓名一致）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c、开户行（必须具体到开户的网点的名称）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d、银行账号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e、实报金额（填报数字 单位为元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f、备注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C、确认以上信息已编辑完毕后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a、如果还需要继续填写下一条支付信息的点击“增加行”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b、如不需要再增加支付信息，点击下一步或“补助清单”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3、修改和删除支付方式的操作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(1）修改支付方式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不能更改其支付方式，且一次只能修改一条支付数据不可多选，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只能在原来的支付方式内部修改其他数据 如：金额、收款人、开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户行、银行账号、备注等具体步骤如下：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A、在支付方式的主界面上，勾选需要修改的数据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B、点击修改行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C、在调出修改支付清单的界面，修改相关内容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D、确认信息已编辑好点击确认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（2）删除支付方式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规则：在支付方式的主界面上，勾选需要删除的数据，点击删除行点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击确认，删除可以多删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第四步 补助清单的填写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869555" cy="3643630"/>
            <wp:effectExtent l="0" t="0" r="17145" b="13970"/>
            <wp:docPr id="16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69555" cy="3643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在“补助清单”界面上方点击“增加”，调出来的界面需要编辑的有：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1、人员编号（职工为工号、学生为学号或身份证号码）分别点击“职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工”“学生”，跳出人员列表后，使用检索查询收款人，点击选中收款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人，系统将自动读取填列：人员编号、人员名称、银行卡号（增加编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辑）。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2、职务（手动填写）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3、起止时间（选择）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4、相关说明（选填）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5、下面的补助标准是默认的；天数是系统自动计算出来的 。如果有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特殊地区、带车、会务费、学生补贴等情况，可以按照差旅补助规定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进行修改，后面的交通补助金额以及伙食补助金额和补助金额为自动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生成不需要更改的。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6、备注（选填）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7、确认信息填写完整 点击确定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1)、如果还需要继续填写下一条补助信息的点击“增加”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2)、如不需要再增加补助信息，点击下一步或“附件清单”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第五步 附件清单的和填写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94930" cy="3118485"/>
            <wp:effectExtent l="0" t="0" r="1270" b="5715"/>
            <wp:docPr id="17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94930" cy="3118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在“附件清单”的界面，点击“增加行” 调出“附件清单”界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面后，具体步骤如下：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1、填写附件说明（附件名称和需要说明的情况），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2、点击界面下方的“浏览”上传附件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3、可以点击附件文件名查看，若图片需要旋转查看，需要点击下图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片会看到一系列的按钮，其中右边第四个是旋转查看的按钮，不需要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使用旋转时，点击图片或使用键盘上的 Esc 键退出。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4、确认信息已编辑好 点击确认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第六步 提交单据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点击“提交”按钮就可以了，这时候我们就可以看到单据是待审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批的状态了。待审批的单据，报销人不能再进行修改，所以，再确定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提交前，报销人一定要仔细确认信息、支付信息填写无误，上传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的附件完整齐备。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（三）日常报销录入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 “报销录入”再点击“日常报销录入”出现录入的主页面。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具体操作步骤如下：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如图：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749790" cy="3668395"/>
            <wp:effectExtent l="0" t="0" r="3810" b="8255"/>
            <wp:docPr id="1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49790" cy="3668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第一步 填写报销基本信息：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1、点击“新增单据”填写必要信息，橘红色字体的项目是必填项，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2、报销说明填写（简要说明报销事项的内容）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3、项目代码（选择）点击输入框，系统自动调出本人负责的项目或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被项目负责人授权的项目表格，如果项目比较多可以使用搜索功能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（搜索条件可以是部门编号、部门名称、项目编号、项目名称等四个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条件中的任意一项）。在项目列表中，点击需要填报的经费项目,系统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将自动读取填列：项目代码、项目名称、部门代码、部门名称。同时，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在“备注”的下方会出现开项目的余额（橘红色字体）。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5、确认信息已编辑后，点击下一步或“报销明细”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第二步 填写“报销明细”：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1、在“报销明细”点击“增加行”，在调出的界面中点击“经济事项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代码”，按照实际发生的费用检索选择：办公费、电话费、邮寄费、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维修费、租赁费、会议费、招待费、水费、电费等。在以下多种填列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方法中选择一种据实填报。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512810" cy="3884930"/>
            <wp:effectExtent l="0" t="0" r="2540" b="1270"/>
            <wp:docPr id="1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12810" cy="3884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804275" cy="3336925"/>
            <wp:effectExtent l="0" t="0" r="15875" b="15875"/>
            <wp:docPr id="20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04275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第三步 填写“支付方式”（与差旅报销录入的支付方式相同）：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1、增加支付方式：点击“增加行”系统调出“增加支付清单”的界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面，点击“支付方式”可以选择：公务卡、冲借款、对公转账、个人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银行等四种支付方式。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支付可以采用多种多笔组合的方式，但是支付的总金额必须等于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借款金额 ，不然提交的时候会提示错误。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2、四种支付方式的具体操作：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(1) 公务卡支付方式的具体操作步骤：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48065" cy="3768090"/>
            <wp:effectExtent l="0" t="0" r="635" b="3810"/>
            <wp:docPr id="23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48065" cy="3768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A、在“增加支付清单”的界面，点击“支付方式”选择公务卡，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B、点击人员编号前的输入框， 确定人员（可以按人员名称/人员编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号搜索） 点击需要的人员，系统将自动读取填列：人员编号、人员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名称、公务卡号（前提是该人员已经在网报系统中完善了个人信息）。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C、刷卡日期，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D、刷卡金额（填写数字 单位为元），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E、实报金额（填写数字 单位为元），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F、商户，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G、备注（选填，需要说明的其他情况）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H、确认以上信息已编辑完毕后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b、如不需要再增加支付信息，点击下一步或“附件清单”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（2）冲借款支付方式的具体操作步骤：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484995" cy="3592195"/>
            <wp:effectExtent l="0" t="0" r="1905" b="8255"/>
            <wp:docPr id="26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84995" cy="359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A、在“增加支付清单”的界面，点击“支付方式”选择冲借款，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C、对冲号选择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D、备注（选填，需要说明的其他情况）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b、如不需要再增加支付信息，点击下一步或“附件清单”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(3 )对公转账支付方式的具体操作步骤：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0654030" cy="4197985"/>
            <wp:effectExtent l="0" t="0" r="13970" b="12065"/>
            <wp:docPr id="25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654030" cy="4197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特别说明：报销明细（不含补助）的总金额等于支付方式（不含补助）的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总金额。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在“增加支付清单”的界面，点击“支付方式”选择对公转账。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A、如果收款人(单位)是与学校有长期合作关系，并已经登记在财务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系统中的单位，可使用检索查询收款单位，点击选中收款人(单位)，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系统将自动读取填列：收款人/单位、开户行、银行账号。报销人核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对上述信息无误后，填写金额（填报数字 单位为元）和备注（选填）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B、如果检索不到收款单位，需要报销人逐项填列以下内容：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a、收款人（单位在银行开户的全称）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b、开户行（必须具体到开户的网点的名称）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c、银行账号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b、如不需要再增加支付信息，点击下一步或“附件清单”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(4)个人银行卡支付方式的具体操作步骤：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46640" cy="3820795"/>
            <wp:effectExtent l="0" t="0" r="16510" b="8255"/>
            <wp:docPr id="27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0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946640" cy="3820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在“增加支付清单”的界面，点击“支付方式”选择个人银行卡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A、收款人为本校职工或学生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a、人员编号（职工为工号、学生为学号或身份证号码）可以手动填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写，也可以分别点击“职工”“学生”，跳出人员列表后，使用检索查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询收款人，点击选中收款人，系统将自动读取填列：人员编号、人员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名称。若是手动填写人员编号，则人员名称也需要手动填写。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b、开户行可以手动填写，也可以点击“开户行”，选中开户行，系统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将自动读取填列：开户行、银行账号，若是手动填写开户行，则银行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账号也需要手动填写。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 实报金额（填报数字 单位为元）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d 备注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B、收款人不是本校职工或学生，逐项按规定填写以下内容：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a、人员编号必须为收款人的身份证号码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b、人员名称（必须与银行开户的姓名一致）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c、开户行（必须具体到开户的网点的名称）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d、银行账号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e、实报金额（填报数字 单位为元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f、备注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C、确认以上信息已编辑完毕后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a、如果还需要继续填写下一条支付信息的点击“增加行”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b、如不需要再增加支付信息，点击下一步或“附件清单”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3、修改和删除支付方式的操作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(1）修改支付方式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不能更改其支付方式，且一次只能修改一条支付数据不可多选，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只能在原来的支付方式内部修改其他数据 如：金额、收款人、开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户行、银行账号、备注等具体步骤如下：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A、在支付方式的主界面上，勾选需要修改的数据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B、点击修改行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C、在调出修改支付清单的界面，修改相关内容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D、确认信息已编辑好点击确认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（2）删除支付方式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规则：在支付方式的主界面上，勾选需要删除的数据，点击删除行点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击确认，删除可以多删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第四步 附件清单的和填写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在“附件清单”的界面，点击“增加行” 调出“附件清单”界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面后，具体步骤如下：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1、填写附件说明（附件名称和需要说明的情况），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2、点击界面下方的“浏览”上传附件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3、可以点击附件文件名查看，若图片需要旋转查看，需要点击下图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片会看到一系列的按钮，其中右边第四个是旋转查看的按钮，不需要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使用旋转时，点击图片或使用键盘上的 Esc 键退出。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4、确认信息已编辑好 点击确认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第五步 提交单据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点击“提交”按钮就可以了，这时候我们就可以看到单据是待审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批的状态了。待审批的单据，报销人不能再进行修改，所以，再确定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提交前，报销人一定要仔细确认信息、支付信息填写无误，上传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的附件完整齐备。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（四）劳务录入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劳务录入业务依据个人所得税的规定，校内审批流程的要求，分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为：劳务申报-教职工、劳务申报-校外、劳务申报-学生、劳务申报-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长聘。其具体操作过程基本相同，具体步骤如下：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 “报销录入”按照发放人员点击“劳务申报-教职工、劳务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申报-校外、劳务申报-学生、劳务申报-长聘”出现录入的主页面。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具体操作步骤如下：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第一步 填写报销基本信息：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98865" cy="2693035"/>
            <wp:effectExtent l="0" t="0" r="6985" b="12065"/>
            <wp:docPr id="2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 descr="IMG_2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698865" cy="2693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1、点击“新增单据”填写必要信息，橘红色字体的项目是必填项，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2、报销说明填写（简要说明报销事项的内容）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3、项目代码（选择）点击输入框，系统自动调出本人负责的项目或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被项目负责人授权的项目表格，如果项目比较多可以使用搜索功能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（搜索条件可以是部门编号、部门名称、项目编号、项目名称等四个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条件中的任意一项）。在项目列表中，点击需要填报的经费项目,系统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将自动读取填列：项目代码、项目名称、部门代码、部门名称。同时，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在“备注”的下方会出现开项目的余额（橘红色字体）。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4、是否计税（是为了人录入人可以看到本次业务，如果现在报销扣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税多少，实际扣税以业务实际报销为准）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6、确认信息已编辑后，点击下一步或“报销明细”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第二步 填写“报销明细”：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劳务的报销明细录入分为普通录入、表格导入两种方法，其中：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普通录入为手动逐一录入，适用于人员较少的业务；表格导入为下载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系统表格，先填好表格后导入系统，适用于人员较多的业务。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976485" cy="4427855"/>
            <wp:effectExtent l="0" t="0" r="5715" b="10795"/>
            <wp:docPr id="22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 descr="IMG_25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976485" cy="4427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1、普通录入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A、增加发放名单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在“报销明细”界面，点击“增加行”在调出的界面中选择人员，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可以利用单位缩小范围，，点击选中人员（可以多选），点击确定后系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统将自动读取填列：人员编号、人员名称、开户行、账（卡）号。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校外人员和长聘人员，逐项按规定填写以下内容：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a）人员编号必须为收款人的身份证号码，b）人员名称（必须与银行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开户的姓名一致，c）开户行（必须具体到开户的网点的名称）,d)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银行账号。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B、填写金额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在“金额”栏中，填写发放金额，点击“批量生成”，自动生成的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金额可以修改。发放金额也可以逐一手动填写。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C、依次据实填写：计算依据、开始时间、结束时间、发放标准、工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作量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点击“导出”可以把表格中的数据导出成 excel 表格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D、备注（选填）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E、确认借款信息已编辑后，点击下一步或“附件清单”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2、表格导入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A、首先在“报销明细”界面中，点击“模板下载”（定义好的格式）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B、按要求填写模板，填写完毕后，改名保存在方便查找的位置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C、在“报销明细”界面中，点击“浏览“选择刚刚的文件 ， 点击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“提交”excel 文件。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D、确认劳务申报明细填写完整，点击“下一步”或“附件清单”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E、确认所有填写完整，点击 “提交”确认提交。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五、网报审批（项目负责人、部门负责人、校领导使用）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进入系统 就会看到本人需要审批的单据（待审批中），由于页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面不是定时刷新，可能在登录后有人提交单据审批，这是看不到单据，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需要刷新页面（右击刷新/点击地址栏）。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审批单据的进入方式有三种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一、主页面直接点击审批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进入审批页面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然后通过下一步查看具体数据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然后就是审批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 同意==》单据通过，没有问题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 不同意，需要填写意见 点击 确定==》单据存在问题，未通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过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二、具体页面审批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进入到报销审核中/事前审核中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同样的点击审批进行审批页面进行审批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三、单据综合查询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点击待审批单据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点击审批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进入审批页面进行审批</w:t>
      </w:r>
    </w:p>
    <w:p>
      <w:pPr>
        <w:pStyle w:val="3"/>
        <w:widowControl/>
        <w:tabs>
          <w:tab w:val="left" w:pos="312"/>
        </w:tabs>
        <w:spacing w:beforeAutospacing="1" w:afterAutospacing="1"/>
        <w:ind w:left="420"/>
        <w:rPr>
          <w:rFonts w:hint="eastAsia" w:ascii="楷体" w:hAnsi="楷体" w:eastAsia="楷体" w:cs="楷体"/>
          <w:sz w:val="28"/>
          <w:szCs w:val="28"/>
        </w:rPr>
      </w:pPr>
    </w:p>
    <w:p>
      <w:pPr>
        <w:pStyle w:val="9"/>
        <w:widowControl/>
        <w:ind w:left="420" w:firstLine="0" w:firstLineChars="0"/>
        <w:jc w:val="left"/>
        <w:rPr>
          <w:rFonts w:ascii="宋体" w:hAnsi="宋体" w:eastAsia="宋体" w:cs="宋体"/>
          <w:kern w:val="0"/>
          <w:sz w:val="24"/>
        </w:rPr>
      </w:pPr>
    </w:p>
    <w:p>
      <w:pPr>
        <w:pStyle w:val="3"/>
        <w:widowControl/>
        <w:tabs>
          <w:tab w:val="left" w:pos="312"/>
        </w:tabs>
        <w:spacing w:beforeAutospacing="1" w:afterAutospacing="1"/>
        <w:ind w:left="420"/>
        <w:rPr>
          <w:rFonts w:ascii="楷体" w:hAnsi="楷体" w:eastAsia="楷体" w:cs="楷体"/>
          <w:sz w:val="28"/>
          <w:szCs w:val="28"/>
        </w:rPr>
      </w:pPr>
    </w:p>
    <w:p>
      <w:pPr>
        <w:pStyle w:val="3"/>
        <w:widowControl/>
        <w:spacing w:beforeAutospacing="1" w:afterAutospacing="1"/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B891C8"/>
    <w:multiLevelType w:val="singleLevel"/>
    <w:tmpl w:val="EDB891C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298136"/>
    <w:multiLevelType w:val="singleLevel"/>
    <w:tmpl w:val="4D29813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83057"/>
    <w:rsid w:val="000D65BE"/>
    <w:rsid w:val="00127545"/>
    <w:rsid w:val="00150E34"/>
    <w:rsid w:val="00172A27"/>
    <w:rsid w:val="001B4871"/>
    <w:rsid w:val="001C5F44"/>
    <w:rsid w:val="002606E7"/>
    <w:rsid w:val="003F2EC9"/>
    <w:rsid w:val="00410279"/>
    <w:rsid w:val="0051247F"/>
    <w:rsid w:val="005255A4"/>
    <w:rsid w:val="0057697C"/>
    <w:rsid w:val="005B5A86"/>
    <w:rsid w:val="005E5C7E"/>
    <w:rsid w:val="006D7892"/>
    <w:rsid w:val="006D7E0D"/>
    <w:rsid w:val="00725845"/>
    <w:rsid w:val="00744603"/>
    <w:rsid w:val="00773343"/>
    <w:rsid w:val="00857B6C"/>
    <w:rsid w:val="00A10A07"/>
    <w:rsid w:val="00AB1AE7"/>
    <w:rsid w:val="00AC23E6"/>
    <w:rsid w:val="00AD7DC1"/>
    <w:rsid w:val="00BA5863"/>
    <w:rsid w:val="00C42BA4"/>
    <w:rsid w:val="00CC2257"/>
    <w:rsid w:val="00D336A6"/>
    <w:rsid w:val="00D45F38"/>
    <w:rsid w:val="00D9560E"/>
    <w:rsid w:val="00E50846"/>
    <w:rsid w:val="00F002F9"/>
    <w:rsid w:val="00F31599"/>
    <w:rsid w:val="01EB0B0D"/>
    <w:rsid w:val="02881514"/>
    <w:rsid w:val="02F75136"/>
    <w:rsid w:val="03756F63"/>
    <w:rsid w:val="0558257C"/>
    <w:rsid w:val="08097E03"/>
    <w:rsid w:val="08CD0513"/>
    <w:rsid w:val="0A2C5B7E"/>
    <w:rsid w:val="0E130DDD"/>
    <w:rsid w:val="0E5939A8"/>
    <w:rsid w:val="0F022FDE"/>
    <w:rsid w:val="0F923AAC"/>
    <w:rsid w:val="108941F2"/>
    <w:rsid w:val="11393F68"/>
    <w:rsid w:val="120A3766"/>
    <w:rsid w:val="12B7363B"/>
    <w:rsid w:val="15E53E28"/>
    <w:rsid w:val="1A7D73ED"/>
    <w:rsid w:val="1BB16550"/>
    <w:rsid w:val="1BC645D8"/>
    <w:rsid w:val="1C3676FE"/>
    <w:rsid w:val="1C78531F"/>
    <w:rsid w:val="1F4C4A10"/>
    <w:rsid w:val="21C0689E"/>
    <w:rsid w:val="22913860"/>
    <w:rsid w:val="244B059C"/>
    <w:rsid w:val="246C56CB"/>
    <w:rsid w:val="24F1062F"/>
    <w:rsid w:val="25165156"/>
    <w:rsid w:val="25382835"/>
    <w:rsid w:val="25551FC9"/>
    <w:rsid w:val="26401C89"/>
    <w:rsid w:val="281F64BE"/>
    <w:rsid w:val="288A0B04"/>
    <w:rsid w:val="2D6430A2"/>
    <w:rsid w:val="2DFE608C"/>
    <w:rsid w:val="2E25312C"/>
    <w:rsid w:val="2EB53A3B"/>
    <w:rsid w:val="2F901D90"/>
    <w:rsid w:val="343C644F"/>
    <w:rsid w:val="34AD27A7"/>
    <w:rsid w:val="3B610F0E"/>
    <w:rsid w:val="3F15548A"/>
    <w:rsid w:val="3FF81CEE"/>
    <w:rsid w:val="412A7739"/>
    <w:rsid w:val="454132A4"/>
    <w:rsid w:val="45A20E54"/>
    <w:rsid w:val="45D41E39"/>
    <w:rsid w:val="4891784E"/>
    <w:rsid w:val="4A5C3D0C"/>
    <w:rsid w:val="4D92154C"/>
    <w:rsid w:val="4DAA7899"/>
    <w:rsid w:val="4F471500"/>
    <w:rsid w:val="50897A7B"/>
    <w:rsid w:val="51106DE4"/>
    <w:rsid w:val="524847FE"/>
    <w:rsid w:val="52DE4A4C"/>
    <w:rsid w:val="54F75FA3"/>
    <w:rsid w:val="5551434E"/>
    <w:rsid w:val="5594165F"/>
    <w:rsid w:val="56581E49"/>
    <w:rsid w:val="56643089"/>
    <w:rsid w:val="568E1FE6"/>
    <w:rsid w:val="58206B13"/>
    <w:rsid w:val="58495E04"/>
    <w:rsid w:val="589310BB"/>
    <w:rsid w:val="5A126C19"/>
    <w:rsid w:val="5D117004"/>
    <w:rsid w:val="5F6B73A7"/>
    <w:rsid w:val="5FA5448B"/>
    <w:rsid w:val="620120DC"/>
    <w:rsid w:val="626B4EB8"/>
    <w:rsid w:val="636460F4"/>
    <w:rsid w:val="645430E4"/>
    <w:rsid w:val="67653F88"/>
    <w:rsid w:val="68BD16B0"/>
    <w:rsid w:val="6AE94B9A"/>
    <w:rsid w:val="6BA06B18"/>
    <w:rsid w:val="6BD43FBB"/>
    <w:rsid w:val="6E5436CE"/>
    <w:rsid w:val="6EDF237C"/>
    <w:rsid w:val="6F73349C"/>
    <w:rsid w:val="72452D53"/>
    <w:rsid w:val="74170266"/>
    <w:rsid w:val="7599633B"/>
    <w:rsid w:val="75D63070"/>
    <w:rsid w:val="760F11B8"/>
    <w:rsid w:val="79AD663E"/>
    <w:rsid w:val="7AB85735"/>
    <w:rsid w:val="7AC13C0A"/>
    <w:rsid w:val="7C9E2CD7"/>
    <w:rsid w:val="7D7A703D"/>
    <w:rsid w:val="7DE439AE"/>
    <w:rsid w:val="7F0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numbering" Target="numbering.xml"/><Relationship Id="rId3" Type="http://schemas.openxmlformats.org/officeDocument/2006/relationships/theme" Target="theme/theme1.xml"/><Relationship Id="rId29" Type="http://schemas.openxmlformats.org/officeDocument/2006/relationships/customXml" Target="../customXml/item1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94DCE-AE23-42DF-9B83-8101D2C0D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515</Words>
  <Characters>156</Characters>
  <Lines>1</Lines>
  <Paragraphs>1</Paragraphs>
  <TotalTime>0</TotalTime>
  <ScaleCrop>false</ScaleCrop>
  <LinksUpToDate>false</LinksUpToDate>
  <CharactersWithSpaces>670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2019-02-18T05:56:00Z</dcterms:created>
  <dc:creator>adm</dc:creator>
  <cp:lastModifiedBy>有时~</cp:lastModifiedBy>
  <cp:lastPrinted>2019-01-19T06:18:00Z</cp:lastPrinted>
  <dcterms:modified xsi:type="dcterms:W3CDTF">2021-03-09T07:52:37Z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