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szCs w:val="24"/>
        </w:rPr>
      </w:pPr>
      <w:r>
        <w:rPr>
          <w:rFonts w:hint="eastAsia"/>
          <w:szCs w:val="24"/>
        </w:rPr>
        <w:t>附件</w:t>
      </w:r>
      <w:r>
        <w:rPr>
          <w:rFonts w:hint="eastAsia"/>
          <w:szCs w:val="24"/>
          <w:lang w:val="en-US" w:eastAsia="zh-CN"/>
        </w:rPr>
        <w:t>1</w:t>
      </w:r>
      <w:r>
        <w:rPr>
          <w:rFonts w:hint="eastAsia"/>
          <w:szCs w:val="24"/>
        </w:rPr>
        <w:t>：</w:t>
      </w:r>
    </w:p>
    <w:p>
      <w:pPr>
        <w:pStyle w:val="4"/>
        <w:keepNext w:val="0"/>
        <w:keepLines w:val="0"/>
        <w:pageBreakBefore w:val="0"/>
        <w:widowControl/>
        <w:kinsoku/>
        <w:wordWrap/>
        <w:overflowPunct/>
        <w:topLinePunct w:val="0"/>
        <w:autoSpaceDE/>
        <w:autoSpaceDN/>
        <w:bidi w:val="0"/>
        <w:adjustRightInd/>
        <w:snapToGrid/>
        <w:spacing w:after="157" w:afterLines="50"/>
        <w:jc w:val="center"/>
        <w:textAlignment w:val="auto"/>
        <w:rPr>
          <w:b/>
          <w:sz w:val="30"/>
          <w:szCs w:val="30"/>
        </w:rPr>
      </w:pPr>
      <w:r>
        <w:rPr>
          <w:rFonts w:hint="eastAsia"/>
          <w:b/>
          <w:sz w:val="30"/>
          <w:szCs w:val="30"/>
        </w:rPr>
        <w:t>《公办普通本科高校需提供资料清单》任务分解</w:t>
      </w:r>
    </w:p>
    <w:p>
      <w:pPr>
        <w:pStyle w:val="4"/>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一、基本材料</w:t>
      </w:r>
    </w:p>
    <w:p>
      <w:pPr>
        <w:pStyle w:val="4"/>
        <w:spacing w:line="360" w:lineRule="auto"/>
        <w:ind w:firstLine="482" w:firstLineChars="200"/>
        <w:rPr>
          <w:rFonts w:hint="eastAsia"/>
          <w:b/>
          <w:sz w:val="24"/>
          <w:szCs w:val="24"/>
        </w:rPr>
      </w:pPr>
      <w:r>
        <w:rPr>
          <w:rFonts w:hint="eastAsia"/>
          <w:b/>
          <w:sz w:val="24"/>
          <w:szCs w:val="24"/>
        </w:rPr>
        <w:t>（一）公办普通本科高校教育培养成本监审表</w:t>
      </w:r>
    </w:p>
    <w:p>
      <w:pPr>
        <w:pStyle w:val="4"/>
        <w:spacing w:line="360" w:lineRule="auto"/>
        <w:ind w:firstLine="480" w:firstLineChars="200"/>
        <w:rPr>
          <w:rFonts w:hint="eastAsia" w:ascii="楷体_GB2312" w:eastAsia="楷体_GB2312"/>
          <w:sz w:val="24"/>
          <w:szCs w:val="24"/>
        </w:rPr>
      </w:pPr>
      <w:r>
        <w:rPr>
          <w:rFonts w:hint="eastAsia"/>
          <w:sz w:val="24"/>
          <w:szCs w:val="24"/>
        </w:rPr>
        <w:t>1.成本监审表。</w:t>
      </w:r>
      <w:r>
        <w:rPr>
          <w:rFonts w:hint="eastAsia" w:ascii="楷体_GB2312" w:eastAsia="楷体_GB2312"/>
          <w:sz w:val="24"/>
          <w:szCs w:val="24"/>
        </w:rPr>
        <w:t>（牵头部门：财务处，协助部门：人事处、教务处、国资处、学生处、发规处）</w:t>
      </w:r>
    </w:p>
    <w:p>
      <w:pPr>
        <w:pStyle w:val="4"/>
        <w:spacing w:line="360" w:lineRule="auto"/>
        <w:ind w:firstLine="480" w:firstLineChars="200"/>
        <w:rPr>
          <w:rFonts w:hint="eastAsia" w:ascii="楷体_GB2312" w:eastAsia="楷体_GB2312"/>
          <w:sz w:val="24"/>
          <w:szCs w:val="24"/>
        </w:rPr>
      </w:pPr>
      <w:r>
        <w:rPr>
          <w:rFonts w:hint="eastAsia"/>
          <w:sz w:val="24"/>
          <w:szCs w:val="24"/>
        </w:rPr>
        <w:t>2.成本监审表详细填报说明，主要内容包括基本情况、调查表数据核算来源、过程及分摊方法。</w:t>
      </w:r>
      <w:r>
        <w:rPr>
          <w:rFonts w:hint="eastAsia" w:ascii="楷体_GB2312" w:eastAsia="楷体_GB2312"/>
          <w:sz w:val="24"/>
          <w:szCs w:val="24"/>
        </w:rPr>
        <w:t>（牵头部门：财务处，协助部门：人事处、教务处、国资处、学生处、发规处）</w:t>
      </w:r>
    </w:p>
    <w:p>
      <w:pPr>
        <w:pStyle w:val="4"/>
        <w:spacing w:line="360" w:lineRule="auto"/>
        <w:ind w:firstLine="482" w:firstLineChars="200"/>
        <w:rPr>
          <w:rFonts w:hint="eastAsia"/>
          <w:b/>
          <w:sz w:val="24"/>
          <w:szCs w:val="24"/>
        </w:rPr>
      </w:pPr>
      <w:r>
        <w:rPr>
          <w:rFonts w:hint="eastAsia"/>
          <w:b/>
          <w:sz w:val="24"/>
          <w:szCs w:val="24"/>
        </w:rPr>
        <w:t>（二）高校基本情况</w:t>
      </w:r>
    </w:p>
    <w:p>
      <w:pPr>
        <w:pStyle w:val="4"/>
        <w:spacing w:line="360" w:lineRule="auto"/>
        <w:ind w:firstLine="480" w:firstLineChars="200"/>
        <w:rPr>
          <w:rFonts w:hint="eastAsia" w:ascii="楷体_GB2312" w:eastAsia="楷体_GB2312"/>
          <w:sz w:val="24"/>
          <w:szCs w:val="24"/>
        </w:rPr>
      </w:pPr>
      <w:r>
        <w:rPr>
          <w:rFonts w:hint="eastAsia"/>
          <w:sz w:val="24"/>
          <w:szCs w:val="24"/>
        </w:rPr>
        <w:t>1.高校概况。包括历史概况、经营范围、组织机构、教育培养业务、其他业务、高校运营情况、主要财务指标等说明材料。</w:t>
      </w:r>
      <w:r>
        <w:rPr>
          <w:rFonts w:hint="eastAsia" w:ascii="楷体_GB2312" w:eastAsia="楷体_GB2312"/>
          <w:sz w:val="24"/>
          <w:szCs w:val="24"/>
        </w:rPr>
        <w:t>（牵头部门：办公室，协助部门：人事处、教务处、财务处、发规处等）</w:t>
      </w:r>
    </w:p>
    <w:p>
      <w:pPr>
        <w:pStyle w:val="4"/>
        <w:spacing w:line="360" w:lineRule="auto"/>
        <w:ind w:firstLine="480" w:firstLineChars="200"/>
        <w:rPr>
          <w:rFonts w:hint="eastAsia" w:ascii="楷体_GB2312" w:eastAsia="楷体_GB2312"/>
          <w:sz w:val="24"/>
          <w:szCs w:val="24"/>
        </w:rPr>
      </w:pPr>
      <w:r>
        <w:rPr>
          <w:rFonts w:hint="eastAsia"/>
          <w:sz w:val="24"/>
          <w:szCs w:val="24"/>
        </w:rPr>
        <w:t>2.教职工情况。包括教职工总数、在岗教职工总数、用工形式及教职工结构说明，高校编制文件，财政部门批复的工资总额及其结构。</w:t>
      </w:r>
      <w:r>
        <w:rPr>
          <w:rFonts w:hint="eastAsia" w:ascii="楷体_GB2312" w:eastAsia="楷体_GB2312"/>
          <w:sz w:val="24"/>
          <w:szCs w:val="24"/>
        </w:rPr>
        <w:t>（牵头部门：人事处）</w:t>
      </w:r>
    </w:p>
    <w:p>
      <w:pPr>
        <w:pStyle w:val="4"/>
        <w:spacing w:line="360" w:lineRule="auto"/>
        <w:ind w:firstLine="480" w:firstLineChars="200"/>
        <w:rPr>
          <w:rFonts w:hint="eastAsia"/>
          <w:sz w:val="24"/>
          <w:szCs w:val="24"/>
        </w:rPr>
      </w:pPr>
      <w:r>
        <w:rPr>
          <w:rFonts w:hint="eastAsia"/>
          <w:sz w:val="24"/>
          <w:szCs w:val="24"/>
        </w:rPr>
        <w:t>3.学生人数情况。监审期间招生计划人数、学生实际人数、学生结构说明及学生人数变化情况说明。</w:t>
      </w:r>
      <w:r>
        <w:rPr>
          <w:rFonts w:hint="eastAsia" w:ascii="楷体_GB2312" w:eastAsia="楷体_GB2312"/>
          <w:sz w:val="24"/>
          <w:szCs w:val="24"/>
        </w:rPr>
        <w:t>（牵头部门：教务处）</w:t>
      </w:r>
    </w:p>
    <w:p>
      <w:pPr>
        <w:pStyle w:val="4"/>
        <w:spacing w:line="360" w:lineRule="auto"/>
        <w:ind w:firstLine="480" w:firstLineChars="200"/>
        <w:rPr>
          <w:rFonts w:hint="eastAsia" w:ascii="楷体_GB2312" w:eastAsia="楷体_GB2312"/>
          <w:sz w:val="24"/>
          <w:szCs w:val="24"/>
        </w:rPr>
      </w:pPr>
      <w:r>
        <w:rPr>
          <w:rFonts w:hint="eastAsia"/>
          <w:sz w:val="24"/>
          <w:szCs w:val="24"/>
        </w:rPr>
        <w:t>4.其他情况。包括高校的资产、收入、费用总额及其结构说明，高校资产规模、投资规划和建设规模。</w:t>
      </w:r>
      <w:r>
        <w:rPr>
          <w:rFonts w:hint="eastAsia" w:ascii="楷体_GB2312" w:eastAsia="楷体_GB2312"/>
          <w:sz w:val="24"/>
          <w:szCs w:val="24"/>
        </w:rPr>
        <w:t>（牵头部门：财务处，协助部门：国资处、发规处等）</w:t>
      </w:r>
    </w:p>
    <w:p>
      <w:pPr>
        <w:pStyle w:val="4"/>
        <w:spacing w:line="360" w:lineRule="auto"/>
        <w:ind w:firstLine="482" w:firstLineChars="200"/>
        <w:rPr>
          <w:rFonts w:hint="eastAsia"/>
          <w:b/>
          <w:sz w:val="24"/>
          <w:szCs w:val="24"/>
        </w:rPr>
      </w:pPr>
      <w:r>
        <w:rPr>
          <w:rFonts w:hint="eastAsia"/>
          <w:b/>
          <w:sz w:val="24"/>
          <w:szCs w:val="24"/>
        </w:rPr>
        <w:t>（三）会计核算及财务资料</w:t>
      </w:r>
    </w:p>
    <w:p>
      <w:pPr>
        <w:pStyle w:val="4"/>
        <w:spacing w:line="360" w:lineRule="auto"/>
        <w:ind w:firstLine="480" w:firstLineChars="200"/>
        <w:rPr>
          <w:rFonts w:hint="eastAsia"/>
          <w:sz w:val="24"/>
          <w:szCs w:val="24"/>
        </w:rPr>
      </w:pPr>
      <w:r>
        <w:rPr>
          <w:rFonts w:hint="eastAsia"/>
          <w:sz w:val="24"/>
          <w:szCs w:val="24"/>
        </w:rPr>
        <w:t>1.高校财务管理制度。</w:t>
      </w:r>
      <w:r>
        <w:rPr>
          <w:rFonts w:hint="eastAsia" w:ascii="楷体_GB2312" w:eastAsia="楷体_GB2312"/>
          <w:sz w:val="24"/>
          <w:szCs w:val="24"/>
        </w:rPr>
        <w:t>（牵头部门：财务处）</w:t>
      </w:r>
    </w:p>
    <w:p>
      <w:pPr>
        <w:pStyle w:val="4"/>
        <w:spacing w:line="360" w:lineRule="auto"/>
        <w:ind w:firstLine="480" w:firstLineChars="200"/>
        <w:rPr>
          <w:rFonts w:hint="eastAsia" w:ascii="楷体_GB2312" w:eastAsia="楷体_GB2312"/>
          <w:sz w:val="24"/>
          <w:szCs w:val="24"/>
        </w:rPr>
      </w:pPr>
      <w:r>
        <w:rPr>
          <w:rFonts w:hint="eastAsia"/>
          <w:sz w:val="24"/>
          <w:szCs w:val="24"/>
        </w:rPr>
        <w:t>高校财务制度汇编、成本核算办法、财务信息系统等说明。</w:t>
      </w:r>
    </w:p>
    <w:p>
      <w:pPr>
        <w:pStyle w:val="4"/>
        <w:spacing w:line="360" w:lineRule="auto"/>
        <w:ind w:firstLine="480" w:firstLineChars="200"/>
        <w:rPr>
          <w:rFonts w:hint="eastAsia"/>
          <w:sz w:val="24"/>
          <w:szCs w:val="24"/>
        </w:rPr>
      </w:pPr>
      <w:r>
        <w:rPr>
          <w:rFonts w:hint="eastAsia"/>
          <w:sz w:val="24"/>
          <w:szCs w:val="24"/>
        </w:rPr>
        <w:t>2.会计账簿报表、决算报告资料。</w:t>
      </w:r>
      <w:r>
        <w:rPr>
          <w:rFonts w:hint="eastAsia" w:ascii="楷体_GB2312" w:eastAsia="楷体_GB2312"/>
          <w:sz w:val="24"/>
          <w:szCs w:val="24"/>
        </w:rPr>
        <w:t>（牵头部门：财务处）</w:t>
      </w:r>
    </w:p>
    <w:p>
      <w:pPr>
        <w:pStyle w:val="4"/>
        <w:spacing w:line="360" w:lineRule="auto"/>
        <w:ind w:firstLine="480" w:firstLineChars="200"/>
        <w:rPr>
          <w:rFonts w:hint="eastAsia"/>
          <w:sz w:val="24"/>
          <w:szCs w:val="24"/>
        </w:rPr>
      </w:pPr>
      <w:r>
        <w:rPr>
          <w:rFonts w:hint="eastAsia"/>
          <w:sz w:val="24"/>
          <w:szCs w:val="24"/>
        </w:rPr>
        <w:t>（1）监审期间各年度科目余额表。</w:t>
      </w:r>
    </w:p>
    <w:p>
      <w:pPr>
        <w:pStyle w:val="4"/>
        <w:spacing w:line="360" w:lineRule="auto"/>
        <w:ind w:firstLine="480" w:firstLineChars="200"/>
        <w:rPr>
          <w:rFonts w:hint="eastAsia" w:ascii="楷体_GB2312" w:eastAsia="楷体_GB2312"/>
          <w:sz w:val="24"/>
          <w:szCs w:val="24"/>
        </w:rPr>
      </w:pPr>
      <w:r>
        <w:rPr>
          <w:rFonts w:hint="eastAsia"/>
          <w:sz w:val="24"/>
          <w:szCs w:val="24"/>
        </w:rPr>
        <w:t>（2）监审期间各年度政府有关部门审核的年度会计决算报告。</w:t>
      </w:r>
    </w:p>
    <w:p>
      <w:pPr>
        <w:pStyle w:val="4"/>
        <w:spacing w:line="360" w:lineRule="auto"/>
        <w:ind w:firstLine="480" w:firstLineChars="200"/>
        <w:rPr>
          <w:rFonts w:hint="eastAsia" w:ascii="楷体_GB2312" w:eastAsia="楷体_GB2312"/>
          <w:sz w:val="24"/>
          <w:szCs w:val="24"/>
        </w:rPr>
      </w:pPr>
      <w:r>
        <w:rPr>
          <w:rFonts w:hint="eastAsia"/>
          <w:sz w:val="24"/>
          <w:szCs w:val="24"/>
        </w:rPr>
        <w:t>（3）监审期间各项收入和支出明细表。</w:t>
      </w:r>
    </w:p>
    <w:p>
      <w:pPr>
        <w:pStyle w:val="4"/>
        <w:spacing w:line="360" w:lineRule="auto"/>
        <w:ind w:firstLine="480" w:firstLineChars="200"/>
        <w:rPr>
          <w:rFonts w:hint="eastAsia"/>
          <w:sz w:val="24"/>
          <w:szCs w:val="24"/>
        </w:rPr>
      </w:pPr>
      <w:r>
        <w:rPr>
          <w:rFonts w:hint="eastAsia"/>
          <w:sz w:val="24"/>
          <w:szCs w:val="24"/>
        </w:rPr>
        <w:t>3.资产类资料</w:t>
      </w:r>
      <w:r>
        <w:rPr>
          <w:rFonts w:hint="eastAsia" w:ascii="楷体_GB2312" w:eastAsia="楷体_GB2312"/>
          <w:sz w:val="24"/>
          <w:szCs w:val="24"/>
        </w:rPr>
        <w:t>（牵头部门：国资处）</w:t>
      </w:r>
    </w:p>
    <w:p>
      <w:pPr>
        <w:pStyle w:val="4"/>
        <w:spacing w:line="360" w:lineRule="auto"/>
        <w:ind w:firstLine="480" w:firstLineChars="200"/>
        <w:rPr>
          <w:rFonts w:hint="eastAsia"/>
          <w:sz w:val="24"/>
          <w:szCs w:val="24"/>
        </w:rPr>
      </w:pPr>
      <w:r>
        <w:rPr>
          <w:rFonts w:hint="eastAsia"/>
          <w:sz w:val="24"/>
          <w:szCs w:val="24"/>
        </w:rPr>
        <w:t>（1）固定资产管理办</w:t>
      </w:r>
      <w:r>
        <w:rPr>
          <w:rFonts w:hint="eastAsia"/>
          <w:sz w:val="24"/>
          <w:szCs w:val="24"/>
          <w:lang w:eastAsia="zh-CN"/>
        </w:rPr>
        <w:t>法</w:t>
      </w:r>
      <w:r>
        <w:rPr>
          <w:rFonts w:hint="eastAsia"/>
          <w:sz w:val="24"/>
          <w:szCs w:val="24"/>
        </w:rPr>
        <w:t>，固定资产折旧政策。</w:t>
      </w:r>
    </w:p>
    <w:p>
      <w:pPr>
        <w:pStyle w:val="4"/>
        <w:spacing w:line="360" w:lineRule="auto"/>
        <w:ind w:firstLine="480" w:firstLineChars="200"/>
        <w:rPr>
          <w:rFonts w:hint="eastAsia" w:ascii="楷体_GB2312" w:eastAsia="楷体_GB2312"/>
          <w:sz w:val="24"/>
          <w:szCs w:val="24"/>
        </w:rPr>
      </w:pPr>
      <w:r>
        <w:rPr>
          <w:rFonts w:hint="eastAsia"/>
          <w:sz w:val="24"/>
          <w:szCs w:val="24"/>
        </w:rPr>
        <w:t>（2）固定资产原值、净值及变化情况。</w:t>
      </w:r>
    </w:p>
    <w:p>
      <w:pPr>
        <w:pStyle w:val="4"/>
        <w:spacing w:line="360" w:lineRule="auto"/>
        <w:ind w:firstLine="480" w:firstLineChars="200"/>
        <w:rPr>
          <w:rFonts w:hint="eastAsia"/>
          <w:sz w:val="24"/>
          <w:szCs w:val="24"/>
        </w:rPr>
      </w:pPr>
      <w:r>
        <w:rPr>
          <w:rFonts w:hint="eastAsia"/>
          <w:sz w:val="24"/>
          <w:szCs w:val="24"/>
        </w:rPr>
        <w:t>（3）按《政府会计制度》等标准划分的固定资产分类情况，并提供分类依据和固定资产卡片（电子版），卡片需标注具体分类标准。</w:t>
      </w:r>
    </w:p>
    <w:p>
      <w:pPr>
        <w:pStyle w:val="4"/>
        <w:spacing w:line="360" w:lineRule="auto"/>
        <w:ind w:firstLine="480" w:firstLineChars="200"/>
        <w:rPr>
          <w:rFonts w:hint="eastAsia" w:ascii="楷体_GB2312" w:eastAsia="楷体_GB2312"/>
          <w:sz w:val="24"/>
          <w:szCs w:val="24"/>
        </w:rPr>
      </w:pPr>
      <w:r>
        <w:rPr>
          <w:rFonts w:hint="eastAsia"/>
          <w:sz w:val="24"/>
          <w:szCs w:val="24"/>
        </w:rPr>
        <w:t>（4）无形资产、长期待摊费用明细清单，摊销办法。</w:t>
      </w:r>
    </w:p>
    <w:p>
      <w:pPr>
        <w:pStyle w:val="4"/>
        <w:spacing w:line="360" w:lineRule="auto"/>
        <w:ind w:firstLine="480" w:firstLineChars="200"/>
        <w:rPr>
          <w:rFonts w:hint="eastAsia"/>
          <w:sz w:val="24"/>
          <w:szCs w:val="24"/>
        </w:rPr>
      </w:pPr>
      <w:r>
        <w:rPr>
          <w:rFonts w:hint="eastAsia"/>
          <w:sz w:val="24"/>
          <w:szCs w:val="24"/>
        </w:rPr>
        <w:t>4.学生人数相关资料</w:t>
      </w:r>
    </w:p>
    <w:p>
      <w:pPr>
        <w:pStyle w:val="4"/>
        <w:spacing w:line="360" w:lineRule="auto"/>
        <w:ind w:firstLine="480" w:firstLineChars="200"/>
        <w:rPr>
          <w:rFonts w:hint="eastAsia"/>
          <w:sz w:val="24"/>
          <w:szCs w:val="24"/>
        </w:rPr>
      </w:pPr>
      <w:r>
        <w:rPr>
          <w:rFonts w:hint="eastAsia"/>
          <w:sz w:val="24"/>
          <w:szCs w:val="24"/>
        </w:rPr>
        <w:t>（1）监审期间学费收入、学生分类相关统计表。</w:t>
      </w:r>
      <w:r>
        <w:rPr>
          <w:rFonts w:hint="eastAsia" w:ascii="楷体_GB2312" w:eastAsia="楷体_GB2312"/>
          <w:sz w:val="24"/>
          <w:szCs w:val="24"/>
        </w:rPr>
        <w:t>（牵头部门：</w:t>
      </w:r>
      <w:r>
        <w:rPr>
          <w:rFonts w:hint="eastAsia" w:ascii="楷体_GB2312" w:eastAsia="楷体_GB2312"/>
          <w:sz w:val="24"/>
          <w:szCs w:val="24"/>
          <w:lang w:eastAsia="zh-CN"/>
        </w:rPr>
        <w:t>财务处，</w:t>
      </w:r>
      <w:r>
        <w:rPr>
          <w:rFonts w:hint="eastAsia" w:ascii="楷体_GB2312" w:eastAsia="楷体_GB2312"/>
          <w:sz w:val="24"/>
          <w:szCs w:val="24"/>
        </w:rPr>
        <w:t>协助部门：</w:t>
      </w:r>
      <w:r>
        <w:rPr>
          <w:rFonts w:hint="eastAsia" w:ascii="楷体_GB2312" w:eastAsia="楷体_GB2312"/>
          <w:sz w:val="24"/>
          <w:szCs w:val="24"/>
          <w:lang w:eastAsia="zh-CN"/>
        </w:rPr>
        <w:t>教务处</w:t>
      </w:r>
      <w:r>
        <w:rPr>
          <w:rFonts w:hint="eastAsia" w:ascii="楷体_GB2312" w:eastAsia="楷体_GB2312"/>
          <w:sz w:val="24"/>
          <w:szCs w:val="24"/>
        </w:rPr>
        <w:t>）</w:t>
      </w:r>
    </w:p>
    <w:p>
      <w:pPr>
        <w:pStyle w:val="4"/>
        <w:spacing w:line="360" w:lineRule="auto"/>
        <w:ind w:firstLine="480" w:firstLineChars="200"/>
        <w:rPr>
          <w:rFonts w:hint="eastAsia" w:ascii="楷体_GB2312" w:eastAsia="楷体_GB2312"/>
          <w:sz w:val="24"/>
          <w:szCs w:val="24"/>
        </w:rPr>
      </w:pPr>
      <w:r>
        <w:rPr>
          <w:rFonts w:hint="eastAsia"/>
          <w:sz w:val="24"/>
          <w:szCs w:val="24"/>
        </w:rPr>
        <w:t>（2）监审期间账面上学费收入总额与统计表学费收入总额不一致的差额情况统计表。</w:t>
      </w:r>
      <w:r>
        <w:rPr>
          <w:rFonts w:hint="eastAsia" w:ascii="楷体_GB2312" w:eastAsia="楷体_GB2312"/>
          <w:sz w:val="24"/>
          <w:szCs w:val="24"/>
        </w:rPr>
        <w:t>（牵头部门：财务处）</w:t>
      </w:r>
    </w:p>
    <w:p>
      <w:pPr>
        <w:pStyle w:val="4"/>
        <w:spacing w:line="360" w:lineRule="auto"/>
        <w:ind w:firstLine="480" w:firstLineChars="200"/>
        <w:rPr>
          <w:rFonts w:hint="eastAsia"/>
          <w:sz w:val="24"/>
          <w:szCs w:val="24"/>
        </w:rPr>
      </w:pPr>
      <w:r>
        <w:rPr>
          <w:rFonts w:hint="eastAsia"/>
          <w:sz w:val="24"/>
          <w:szCs w:val="24"/>
        </w:rPr>
        <w:t>5.其他情况</w:t>
      </w:r>
    </w:p>
    <w:p>
      <w:pPr>
        <w:pStyle w:val="4"/>
        <w:spacing w:line="360" w:lineRule="auto"/>
        <w:ind w:firstLine="480" w:firstLineChars="200"/>
        <w:rPr>
          <w:rFonts w:hint="eastAsia" w:ascii="楷体_GB2312" w:eastAsia="楷体_GB2312"/>
          <w:sz w:val="24"/>
          <w:szCs w:val="24"/>
        </w:rPr>
      </w:pPr>
      <w:r>
        <w:rPr>
          <w:rFonts w:hint="eastAsia"/>
          <w:sz w:val="24"/>
          <w:szCs w:val="24"/>
        </w:rPr>
        <w:t>（1）除教育培养业务外的其他业务收入、支出明细账。</w:t>
      </w:r>
      <w:r>
        <w:rPr>
          <w:rFonts w:hint="eastAsia" w:ascii="楷体_GB2312" w:eastAsia="楷体_GB2312"/>
          <w:sz w:val="24"/>
          <w:szCs w:val="24"/>
        </w:rPr>
        <w:t>（牵头部门：财务处）</w:t>
      </w:r>
    </w:p>
    <w:p>
      <w:pPr>
        <w:pStyle w:val="4"/>
        <w:spacing w:line="360" w:lineRule="auto"/>
        <w:ind w:firstLine="480" w:firstLineChars="200"/>
        <w:rPr>
          <w:rFonts w:hint="eastAsia" w:ascii="楷体_GB2312" w:eastAsia="楷体_GB2312"/>
          <w:sz w:val="24"/>
          <w:szCs w:val="24"/>
        </w:rPr>
      </w:pPr>
      <w:r>
        <w:rPr>
          <w:rFonts w:hint="eastAsia"/>
          <w:sz w:val="24"/>
          <w:szCs w:val="24"/>
        </w:rPr>
        <w:t>（2）监审期间在职教职工平均工资计算表。</w:t>
      </w:r>
      <w:r>
        <w:rPr>
          <w:rFonts w:hint="eastAsia" w:ascii="楷体_GB2312" w:eastAsia="楷体_GB2312"/>
          <w:sz w:val="24"/>
          <w:szCs w:val="24"/>
        </w:rPr>
        <w:t>（牵头部门：人事处）</w:t>
      </w:r>
    </w:p>
    <w:p>
      <w:pPr>
        <w:pStyle w:val="4"/>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二、举证材料</w:t>
      </w:r>
    </w:p>
    <w:p>
      <w:pPr>
        <w:pStyle w:val="4"/>
        <w:spacing w:line="360" w:lineRule="auto"/>
        <w:ind w:firstLine="482" w:firstLineChars="200"/>
        <w:rPr>
          <w:rFonts w:hint="eastAsia"/>
          <w:b/>
          <w:sz w:val="24"/>
          <w:szCs w:val="24"/>
        </w:rPr>
      </w:pPr>
      <w:r>
        <w:rPr>
          <w:rFonts w:hint="eastAsia"/>
          <w:b/>
          <w:sz w:val="24"/>
          <w:szCs w:val="24"/>
        </w:rPr>
        <w:t>（一）成本核算情况</w:t>
      </w:r>
      <w:r>
        <w:rPr>
          <w:rFonts w:hint="eastAsia" w:ascii="楷体_GB2312" w:eastAsia="楷体_GB2312"/>
          <w:sz w:val="24"/>
          <w:szCs w:val="24"/>
        </w:rPr>
        <w:t>（牵头部门：财务处）</w:t>
      </w:r>
    </w:p>
    <w:p>
      <w:pPr>
        <w:pStyle w:val="4"/>
        <w:spacing w:line="360" w:lineRule="auto"/>
        <w:ind w:firstLine="480" w:firstLineChars="200"/>
        <w:rPr>
          <w:rFonts w:hint="eastAsia" w:ascii="楷体_GB2312" w:eastAsia="楷体_GB2312"/>
          <w:sz w:val="24"/>
          <w:szCs w:val="24"/>
        </w:rPr>
      </w:pPr>
      <w:r>
        <w:rPr>
          <w:rFonts w:hint="eastAsia"/>
          <w:sz w:val="24"/>
          <w:szCs w:val="24"/>
        </w:rPr>
        <w:t>1.公办普通本科高校教育培养成本监审表核算填报工作底稿。</w:t>
      </w:r>
    </w:p>
    <w:p>
      <w:pPr>
        <w:pStyle w:val="4"/>
        <w:spacing w:line="360" w:lineRule="auto"/>
        <w:ind w:firstLine="480" w:firstLineChars="200"/>
        <w:rPr>
          <w:rFonts w:hint="eastAsia"/>
          <w:sz w:val="24"/>
          <w:szCs w:val="24"/>
        </w:rPr>
      </w:pPr>
      <w:r>
        <w:rPr>
          <w:rFonts w:hint="eastAsia"/>
          <w:sz w:val="24"/>
          <w:szCs w:val="24"/>
        </w:rPr>
        <w:t>2.收入合同、台账、结算单等资料。</w:t>
      </w:r>
    </w:p>
    <w:p>
      <w:pPr>
        <w:pStyle w:val="4"/>
        <w:spacing w:line="360" w:lineRule="auto"/>
        <w:ind w:firstLine="480" w:firstLineChars="200"/>
        <w:rPr>
          <w:rFonts w:hint="eastAsia" w:ascii="楷体_GB2312" w:eastAsia="楷体_GB2312"/>
          <w:sz w:val="24"/>
          <w:szCs w:val="24"/>
        </w:rPr>
      </w:pPr>
      <w:r>
        <w:rPr>
          <w:rFonts w:hint="eastAsia"/>
          <w:sz w:val="24"/>
          <w:szCs w:val="24"/>
        </w:rPr>
        <w:t>3.监审期间各类成本、费用明细清单及发生依据。</w:t>
      </w:r>
    </w:p>
    <w:p>
      <w:pPr>
        <w:pStyle w:val="4"/>
        <w:spacing w:line="360" w:lineRule="auto"/>
        <w:ind w:firstLine="482" w:firstLineChars="200"/>
        <w:rPr>
          <w:rFonts w:hint="eastAsia"/>
          <w:b/>
          <w:sz w:val="24"/>
          <w:szCs w:val="24"/>
        </w:rPr>
      </w:pPr>
      <w:r>
        <w:rPr>
          <w:rFonts w:hint="eastAsia"/>
          <w:b/>
          <w:sz w:val="24"/>
          <w:szCs w:val="24"/>
        </w:rPr>
        <w:t>（二）高校基本情况</w:t>
      </w:r>
    </w:p>
    <w:p>
      <w:pPr>
        <w:pStyle w:val="4"/>
        <w:spacing w:line="360" w:lineRule="auto"/>
        <w:ind w:firstLine="480" w:firstLineChars="200"/>
        <w:rPr>
          <w:rFonts w:hint="eastAsia" w:ascii="楷体_GB2312" w:eastAsia="楷体_GB2312"/>
          <w:sz w:val="24"/>
          <w:szCs w:val="24"/>
        </w:rPr>
      </w:pPr>
      <w:r>
        <w:rPr>
          <w:rFonts w:hint="eastAsia"/>
          <w:sz w:val="24"/>
          <w:szCs w:val="24"/>
        </w:rPr>
        <w:t>1.高校各部门职能及实际开展工作情况说明。</w:t>
      </w:r>
      <w:r>
        <w:rPr>
          <w:rFonts w:hint="eastAsia" w:ascii="楷体_GB2312" w:eastAsia="楷体_GB2312"/>
          <w:sz w:val="24"/>
          <w:szCs w:val="24"/>
        </w:rPr>
        <w:t>（牵头部门：人事处</w:t>
      </w:r>
      <w:r>
        <w:rPr>
          <w:rFonts w:hint="eastAsia" w:ascii="楷体_GB2312" w:eastAsia="楷体_GB2312"/>
          <w:sz w:val="24"/>
          <w:szCs w:val="24"/>
          <w:lang w:eastAsia="zh-CN"/>
        </w:rPr>
        <w:t>，</w:t>
      </w:r>
      <w:r>
        <w:rPr>
          <w:rFonts w:hint="eastAsia" w:ascii="楷体_GB2312" w:eastAsia="楷体_GB2312"/>
          <w:sz w:val="24"/>
          <w:szCs w:val="24"/>
        </w:rPr>
        <w:t>协助部门：</w:t>
      </w:r>
      <w:r>
        <w:rPr>
          <w:rFonts w:hint="eastAsia" w:ascii="楷体_GB2312" w:eastAsia="楷体_GB2312"/>
          <w:sz w:val="24"/>
          <w:szCs w:val="24"/>
          <w:lang w:eastAsia="zh-CN"/>
        </w:rPr>
        <w:t>全校各部门</w:t>
      </w:r>
      <w:r>
        <w:rPr>
          <w:rFonts w:hint="eastAsia" w:ascii="楷体_GB2312" w:eastAsia="楷体_GB2312"/>
          <w:sz w:val="24"/>
          <w:szCs w:val="24"/>
        </w:rPr>
        <w:t>）</w:t>
      </w:r>
    </w:p>
    <w:p>
      <w:pPr>
        <w:pStyle w:val="4"/>
        <w:spacing w:line="360" w:lineRule="auto"/>
        <w:ind w:firstLine="480" w:firstLineChars="200"/>
        <w:rPr>
          <w:rFonts w:hint="eastAsia"/>
          <w:sz w:val="24"/>
          <w:szCs w:val="24"/>
        </w:rPr>
      </w:pPr>
      <w:r>
        <w:rPr>
          <w:rFonts w:hint="eastAsia"/>
          <w:sz w:val="24"/>
          <w:szCs w:val="24"/>
        </w:rPr>
        <w:t>2.教职工情况。人事统计报表、社保缴费通知书和住房公积金（含补充）缴款书（每年12月份）、高校年金资料、劳务派遣（劳务外包）合同、派遣（外包）名单（每年12月份）、发票（每年12月份）、临时聘用合同及名单（每年12月份）。各项社会保险费、住房公积金等缴费比例和基数的有关政策文件依据和相关资料。</w:t>
      </w:r>
      <w:r>
        <w:rPr>
          <w:rFonts w:hint="eastAsia" w:ascii="楷体_GB2312" w:eastAsia="楷体_GB2312"/>
          <w:sz w:val="24"/>
          <w:szCs w:val="24"/>
        </w:rPr>
        <w:t>（牵头部门：人事处，协助部门：财务处）</w:t>
      </w:r>
    </w:p>
    <w:p>
      <w:pPr>
        <w:pStyle w:val="4"/>
        <w:spacing w:line="360" w:lineRule="auto"/>
        <w:ind w:firstLine="480" w:firstLineChars="200"/>
        <w:rPr>
          <w:rFonts w:hint="eastAsia" w:ascii="楷体_GB2312" w:eastAsia="楷体_GB2312"/>
          <w:sz w:val="24"/>
          <w:szCs w:val="24"/>
        </w:rPr>
      </w:pPr>
      <w:r>
        <w:rPr>
          <w:rFonts w:hint="eastAsia"/>
          <w:sz w:val="24"/>
          <w:szCs w:val="24"/>
        </w:rPr>
        <w:t>3.学生人数情况。经高校有关职能部门盖章的学生数及其结构情况的统计资料。</w:t>
      </w:r>
      <w:r>
        <w:rPr>
          <w:rFonts w:hint="eastAsia" w:ascii="楷体_GB2312" w:eastAsia="楷体_GB2312"/>
          <w:sz w:val="24"/>
          <w:szCs w:val="24"/>
        </w:rPr>
        <w:t>（牵头部门：教务处）</w:t>
      </w:r>
    </w:p>
    <w:p>
      <w:pPr>
        <w:pStyle w:val="4"/>
        <w:spacing w:line="360" w:lineRule="auto"/>
        <w:ind w:firstLine="480" w:firstLineChars="200"/>
        <w:rPr>
          <w:rFonts w:hint="eastAsia" w:ascii="黑体" w:hAnsi="黑体" w:eastAsia="黑体"/>
          <w:sz w:val="24"/>
          <w:szCs w:val="24"/>
        </w:rPr>
      </w:pPr>
      <w:r>
        <w:rPr>
          <w:rFonts w:hint="eastAsia" w:ascii="黑体" w:hAnsi="黑体" w:eastAsia="黑体"/>
          <w:sz w:val="24"/>
          <w:szCs w:val="24"/>
        </w:rPr>
        <w:t>三、其他材料</w:t>
      </w:r>
    </w:p>
    <w:p>
      <w:pPr>
        <w:pStyle w:val="4"/>
        <w:spacing w:line="360" w:lineRule="auto"/>
        <w:ind w:firstLine="480" w:firstLineChars="200"/>
        <w:rPr>
          <w:sz w:val="24"/>
          <w:szCs w:val="24"/>
        </w:rPr>
      </w:pPr>
      <w:r>
        <w:rPr>
          <w:rFonts w:hint="eastAsia"/>
          <w:sz w:val="24"/>
          <w:szCs w:val="24"/>
        </w:rPr>
        <w:t>监审组在监审过程中认为需要补充提供的其他有关资料。</w:t>
      </w:r>
      <w:r>
        <w:rPr>
          <w:rFonts w:hint="eastAsia" w:ascii="楷体_GB2312" w:eastAsia="楷体_GB2312"/>
          <w:sz w:val="24"/>
          <w:szCs w:val="24"/>
        </w:rPr>
        <w:t>（牵头部门：发展规划处）</w:t>
      </w:r>
      <w:bookmarkStart w:id="0" w:name="_GoBack"/>
      <w:bookmarkEnd w:id="0"/>
    </w:p>
    <w:p>
      <w:pPr>
        <w:spacing w:line="360" w:lineRule="auto"/>
        <w:ind w:firstLine="435"/>
        <w:rPr>
          <w:rFonts w:hint="eastAsia"/>
          <w:sz w:val="24"/>
        </w:rPr>
      </w:pPr>
    </w:p>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708B3"/>
    <w:rsid w:val="28B708B3"/>
    <w:rsid w:val="3BBB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2020-01-01T07:20:00Z</dcterms:created>
  <dc:creator>Administrator</dc:creator>
  <cp:lastModifiedBy>Administrator</cp:lastModifiedBy>
  <dcterms:modified xsi:type="dcterms:W3CDTF">2020-01-01T07:24:34Z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